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B1" w:rsidRDefault="002B70B1" w:rsidP="002B70B1">
      <w:pPr>
        <w:spacing w:after="0"/>
        <w:jc w:val="center"/>
        <w:rPr>
          <w:rFonts w:ascii="Times New Roman" w:eastAsiaTheme="minorEastAsia" w:hAnsi="Times New Roman"/>
          <w:b/>
          <w:sz w:val="24"/>
          <w:szCs w:val="24"/>
          <w:lang w:val="en-US"/>
        </w:rPr>
      </w:pPr>
      <w:r w:rsidRPr="00B17E9A">
        <w:rPr>
          <w:rFonts w:ascii="Times New Roman" w:hAnsi="Times New Roman"/>
          <w:b/>
          <w:sz w:val="24"/>
          <w:szCs w:val="24"/>
          <w:lang w:val="en-US"/>
        </w:rPr>
        <w:t xml:space="preserve">TURKEY </w:t>
      </w:r>
      <w:r w:rsidRPr="00B17E9A">
        <w:rPr>
          <w:rFonts w:ascii="Times New Roman" w:eastAsiaTheme="minorEastAsia" w:hAnsi="Times New Roman"/>
          <w:b/>
          <w:sz w:val="24"/>
          <w:szCs w:val="24"/>
          <w:lang w:val="en-US"/>
        </w:rPr>
        <w:t>SHADOW FOLLOW UP REPORT</w:t>
      </w:r>
    </w:p>
    <w:p w:rsidR="002B70B1" w:rsidRPr="000E3725" w:rsidRDefault="002B70B1" w:rsidP="002B70B1">
      <w:pPr>
        <w:spacing w:after="0"/>
        <w:jc w:val="center"/>
        <w:rPr>
          <w:rFonts w:ascii="Times New Roman" w:eastAsiaTheme="minorEastAsia" w:hAnsi="Times New Roman"/>
          <w:b/>
          <w:sz w:val="24"/>
          <w:szCs w:val="24"/>
          <w:lang w:val="en-US"/>
        </w:rPr>
      </w:pPr>
      <w:r w:rsidRPr="00B17E9A">
        <w:rPr>
          <w:rFonts w:eastAsiaTheme="minorEastAsia"/>
          <w:b/>
          <w:i/>
          <w:lang w:val="en-US"/>
        </w:rPr>
        <w:t>Submitted by</w:t>
      </w:r>
    </w:p>
    <w:p w:rsidR="002B70B1" w:rsidRDefault="002B70B1" w:rsidP="002B70B1">
      <w:pPr>
        <w:pStyle w:val="Default"/>
        <w:jc w:val="center"/>
        <w:rPr>
          <w:rFonts w:eastAsiaTheme="minorEastAsia"/>
          <w:b/>
          <w:lang w:val="en-US"/>
        </w:rPr>
      </w:pPr>
      <w:r w:rsidRPr="00B17E9A">
        <w:rPr>
          <w:rFonts w:eastAsiaTheme="minorEastAsia"/>
          <w:b/>
          <w:lang w:val="en-US"/>
        </w:rPr>
        <w:t xml:space="preserve">The Executive Committee for </w:t>
      </w:r>
      <w:r>
        <w:rPr>
          <w:rFonts w:eastAsiaTheme="minorEastAsia"/>
          <w:b/>
          <w:lang w:val="en-US"/>
        </w:rPr>
        <w:t xml:space="preserve">the </w:t>
      </w:r>
      <w:r w:rsidRPr="00B17E9A">
        <w:rPr>
          <w:rFonts w:eastAsiaTheme="minorEastAsia"/>
          <w:b/>
          <w:lang w:val="en-US"/>
        </w:rPr>
        <w:t xml:space="preserve">NGO Forum on CEDAW – Turkey </w:t>
      </w:r>
    </w:p>
    <w:p w:rsidR="002B70B1" w:rsidRPr="00B17E9A" w:rsidRDefault="002B70B1" w:rsidP="002B70B1">
      <w:pPr>
        <w:pStyle w:val="Default"/>
        <w:jc w:val="center"/>
        <w:rPr>
          <w:rFonts w:eastAsiaTheme="minorEastAsia"/>
          <w:b/>
          <w:lang w:val="en-US"/>
        </w:rPr>
      </w:pPr>
      <w:r w:rsidRPr="00B17E9A">
        <w:rPr>
          <w:rFonts w:eastAsiaTheme="minorEastAsia"/>
          <w:b/>
          <w:lang w:val="en-US"/>
        </w:rPr>
        <w:t>&amp;</w:t>
      </w:r>
    </w:p>
    <w:p w:rsidR="002B70B1" w:rsidRPr="00B17E9A" w:rsidRDefault="002B70B1" w:rsidP="002B70B1">
      <w:pPr>
        <w:pStyle w:val="Default"/>
        <w:jc w:val="center"/>
        <w:rPr>
          <w:rFonts w:eastAsiaTheme="minorEastAsia"/>
          <w:b/>
          <w:lang w:val="en-US"/>
        </w:rPr>
      </w:pPr>
      <w:r>
        <w:rPr>
          <w:rFonts w:eastAsiaTheme="minorEastAsia"/>
          <w:b/>
          <w:lang w:val="en-US"/>
        </w:rPr>
        <w:t xml:space="preserve">The </w:t>
      </w:r>
      <w:r w:rsidRPr="00B17E9A">
        <w:rPr>
          <w:rFonts w:eastAsiaTheme="minorEastAsia"/>
          <w:b/>
          <w:lang w:val="en-US"/>
        </w:rPr>
        <w:t>Women’s Platform on the Turkish Penal Code</w:t>
      </w:r>
    </w:p>
    <w:p w:rsidR="002B70B1" w:rsidRPr="00B17E9A" w:rsidRDefault="002B70B1" w:rsidP="002B70B1">
      <w:pPr>
        <w:spacing w:after="0"/>
        <w:jc w:val="both"/>
        <w:rPr>
          <w:rFonts w:ascii="Times New Roman" w:eastAsiaTheme="minorEastAsia" w:hAnsi="Times New Roman"/>
          <w:b/>
          <w:sz w:val="24"/>
          <w:szCs w:val="24"/>
          <w:lang w:val="en-US"/>
        </w:rPr>
      </w:pPr>
    </w:p>
    <w:p w:rsidR="002B70B1" w:rsidRDefault="002B70B1" w:rsidP="002B70B1">
      <w:pPr>
        <w:spacing w:after="0"/>
        <w:jc w:val="both"/>
        <w:rPr>
          <w:rFonts w:ascii="Times New Roman" w:eastAsiaTheme="minorEastAsia" w:hAnsi="Times New Roman"/>
          <w:b/>
          <w:sz w:val="24"/>
          <w:szCs w:val="24"/>
          <w:lang w:val="en-US"/>
        </w:rPr>
      </w:pPr>
    </w:p>
    <w:p w:rsidR="002B70B1" w:rsidRPr="00B17E9A" w:rsidRDefault="002B70B1" w:rsidP="002B70B1">
      <w:pPr>
        <w:spacing w:after="0"/>
        <w:jc w:val="both"/>
        <w:rPr>
          <w:rFonts w:ascii="Times New Roman" w:eastAsiaTheme="minorEastAsia" w:hAnsi="Times New Roman"/>
          <w:sz w:val="24"/>
          <w:szCs w:val="24"/>
          <w:lang w:val="en-US"/>
        </w:rPr>
      </w:pPr>
      <w:r w:rsidRPr="00B17E9A">
        <w:rPr>
          <w:rFonts w:ascii="Times New Roman" w:eastAsiaTheme="minorEastAsia" w:hAnsi="Times New Roman"/>
          <w:b/>
          <w:sz w:val="24"/>
          <w:szCs w:val="24"/>
          <w:lang w:val="en-US"/>
        </w:rPr>
        <w:t>Introduction</w:t>
      </w:r>
    </w:p>
    <w:p w:rsidR="002B70B1" w:rsidRDefault="002B70B1" w:rsidP="002B70B1">
      <w:pPr>
        <w:spacing w:after="0"/>
        <w:jc w:val="both"/>
        <w:rPr>
          <w:rFonts w:ascii="Times New Roman" w:eastAsiaTheme="minorEastAsia" w:hAnsi="Times New Roman"/>
          <w:sz w:val="24"/>
          <w:szCs w:val="24"/>
          <w:lang w:val="en-US"/>
        </w:rPr>
      </w:pPr>
    </w:p>
    <w:p w:rsidR="002B70B1" w:rsidRDefault="002B70B1" w:rsidP="002B70B1">
      <w:pPr>
        <w:spacing w:after="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In 2010, t</w:t>
      </w:r>
      <w:r w:rsidRPr="00B17E9A">
        <w:rPr>
          <w:rFonts w:ascii="Times New Roman" w:eastAsiaTheme="minorEastAsia" w:hAnsi="Times New Roman"/>
          <w:sz w:val="24"/>
          <w:szCs w:val="24"/>
          <w:lang w:val="en-US"/>
        </w:rPr>
        <w:t>he CEDAW Committee</w:t>
      </w:r>
      <w:r>
        <w:rPr>
          <w:rFonts w:ascii="Times New Roman" w:eastAsiaTheme="minorEastAsia" w:hAnsi="Times New Roman"/>
          <w:sz w:val="24"/>
          <w:szCs w:val="24"/>
          <w:lang w:val="en-US"/>
        </w:rPr>
        <w:t xml:space="preserve"> r</w:t>
      </w:r>
      <w:r w:rsidRPr="00B17E9A">
        <w:rPr>
          <w:rFonts w:ascii="Times New Roman" w:eastAsiaTheme="minorEastAsia" w:hAnsi="Times New Roman"/>
          <w:sz w:val="24"/>
          <w:szCs w:val="24"/>
          <w:lang w:val="en-US"/>
        </w:rPr>
        <w:t>equest</w:t>
      </w:r>
      <w:r>
        <w:rPr>
          <w:rFonts w:ascii="Times New Roman" w:eastAsiaTheme="minorEastAsia" w:hAnsi="Times New Roman"/>
          <w:sz w:val="24"/>
          <w:szCs w:val="24"/>
          <w:lang w:val="en-US"/>
        </w:rPr>
        <w:t>ed</w:t>
      </w:r>
      <w:r w:rsidRPr="00B17E9A">
        <w:rPr>
          <w:rFonts w:ascii="Times New Roman" w:eastAsiaTheme="minorEastAsia" w:hAnsi="Times New Roman"/>
          <w:sz w:val="24"/>
          <w:szCs w:val="24"/>
          <w:lang w:val="en-US"/>
        </w:rPr>
        <w:t xml:space="preserve"> a follow up report from the </w:t>
      </w:r>
      <w:r>
        <w:rPr>
          <w:rFonts w:ascii="Times New Roman" w:eastAsiaTheme="minorEastAsia" w:hAnsi="Times New Roman"/>
          <w:sz w:val="24"/>
          <w:szCs w:val="24"/>
          <w:lang w:val="en-US"/>
        </w:rPr>
        <w:t>Government</w:t>
      </w:r>
      <w:r w:rsidRPr="00B17E9A">
        <w:rPr>
          <w:rFonts w:ascii="Times New Roman" w:eastAsiaTheme="minorEastAsia" w:hAnsi="Times New Roman"/>
          <w:sz w:val="24"/>
          <w:szCs w:val="24"/>
          <w:lang w:val="en-US"/>
        </w:rPr>
        <w:t xml:space="preserve"> of Turkey on the issues of </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violence against women</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 and </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headscar</w:t>
      </w:r>
      <w:r>
        <w:rPr>
          <w:rFonts w:ascii="Times New Roman" w:eastAsiaTheme="minorEastAsia" w:hAnsi="Times New Roman"/>
          <w:sz w:val="24"/>
          <w:szCs w:val="24"/>
          <w:lang w:val="en-US"/>
        </w:rPr>
        <w:t>ve” in P</w:t>
      </w:r>
      <w:r w:rsidRPr="00B17E9A">
        <w:rPr>
          <w:rFonts w:ascii="Times New Roman" w:eastAsiaTheme="minorEastAsia" w:hAnsi="Times New Roman"/>
          <w:sz w:val="24"/>
          <w:szCs w:val="24"/>
          <w:lang w:val="en-US"/>
        </w:rPr>
        <w:t xml:space="preserve">aragraph </w:t>
      </w:r>
      <w:r>
        <w:rPr>
          <w:rFonts w:ascii="Times New Roman" w:eastAsiaTheme="minorEastAsia" w:hAnsi="Times New Roman"/>
          <w:sz w:val="24"/>
          <w:szCs w:val="24"/>
          <w:lang w:val="en-US"/>
        </w:rPr>
        <w:t>48 under the title “Follow up to Concluding O</w:t>
      </w:r>
      <w:r w:rsidRPr="00B17E9A">
        <w:rPr>
          <w:rFonts w:ascii="Times New Roman" w:eastAsiaTheme="minorEastAsia" w:hAnsi="Times New Roman"/>
          <w:sz w:val="24"/>
          <w:szCs w:val="24"/>
          <w:lang w:val="en-US"/>
        </w:rPr>
        <w:t>bservations”</w:t>
      </w:r>
      <w:r>
        <w:rPr>
          <w:rFonts w:ascii="Times New Roman" w:eastAsiaTheme="minorEastAsia" w:hAnsi="Times New Roman"/>
          <w:sz w:val="24"/>
          <w:szCs w:val="24"/>
          <w:lang w:val="en-US"/>
        </w:rPr>
        <w:t xml:space="preserve"> of the </w:t>
      </w:r>
      <w:r w:rsidRPr="00B17E9A">
        <w:rPr>
          <w:rFonts w:ascii="Times New Roman" w:eastAsiaTheme="minorEastAsia" w:hAnsi="Times New Roman"/>
          <w:sz w:val="24"/>
          <w:szCs w:val="24"/>
          <w:lang w:val="en-US"/>
        </w:rPr>
        <w:t>Concluding Comments</w:t>
      </w:r>
      <w:r>
        <w:rPr>
          <w:rFonts w:ascii="Times New Roman" w:eastAsiaTheme="minorEastAsia" w:hAnsi="Times New Roman"/>
          <w:sz w:val="24"/>
          <w:szCs w:val="24"/>
          <w:lang w:val="en-US"/>
        </w:rPr>
        <w:t xml:space="preserve"> of the report </w:t>
      </w:r>
      <w:r w:rsidRPr="00B17E9A">
        <w:rPr>
          <w:rFonts w:ascii="Times New Roman" w:eastAsiaTheme="minorEastAsia" w:hAnsi="Times New Roman"/>
          <w:sz w:val="24"/>
          <w:szCs w:val="24"/>
          <w:lang w:val="en-US"/>
        </w:rPr>
        <w:t xml:space="preserve">subsequent </w:t>
      </w:r>
      <w:r>
        <w:rPr>
          <w:rFonts w:ascii="Times New Roman" w:eastAsiaTheme="minorEastAsia" w:hAnsi="Times New Roman"/>
          <w:sz w:val="24"/>
          <w:szCs w:val="24"/>
          <w:lang w:val="en-US"/>
        </w:rPr>
        <w:t xml:space="preserve">to </w:t>
      </w:r>
      <w:r w:rsidRPr="00B17E9A">
        <w:rPr>
          <w:rFonts w:ascii="Times New Roman" w:eastAsiaTheme="minorEastAsia" w:hAnsi="Times New Roman"/>
          <w:sz w:val="24"/>
          <w:szCs w:val="24"/>
          <w:lang w:val="en-US"/>
        </w:rPr>
        <w:t>the 6</w:t>
      </w:r>
      <w:r w:rsidRPr="00B17E9A">
        <w:rPr>
          <w:rFonts w:ascii="Times New Roman" w:eastAsiaTheme="minorEastAsia" w:hAnsi="Times New Roman"/>
          <w:sz w:val="24"/>
          <w:szCs w:val="24"/>
          <w:vertAlign w:val="superscript"/>
          <w:lang w:val="en-US"/>
        </w:rPr>
        <w:t>th</w:t>
      </w:r>
      <w:r w:rsidRPr="00B17E9A">
        <w:rPr>
          <w:rFonts w:ascii="Times New Roman" w:eastAsiaTheme="minorEastAsia" w:hAnsi="Times New Roman"/>
          <w:sz w:val="24"/>
          <w:szCs w:val="24"/>
          <w:lang w:val="en-US"/>
        </w:rPr>
        <w:t xml:space="preserve"> Periodic Review of Turkey</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 The Government of Turkey </w:t>
      </w:r>
      <w:r>
        <w:rPr>
          <w:rFonts w:ascii="Times New Roman" w:eastAsiaTheme="minorEastAsia" w:hAnsi="Times New Roman"/>
          <w:sz w:val="24"/>
          <w:szCs w:val="24"/>
          <w:lang w:val="en-US"/>
        </w:rPr>
        <w:t xml:space="preserve">also </w:t>
      </w:r>
      <w:r w:rsidRPr="00B17E9A">
        <w:rPr>
          <w:rFonts w:ascii="Times New Roman" w:eastAsiaTheme="minorEastAsia" w:hAnsi="Times New Roman"/>
          <w:sz w:val="24"/>
          <w:szCs w:val="24"/>
          <w:lang w:val="en-US"/>
        </w:rPr>
        <w:t>drafted an official report on these two issu</w:t>
      </w:r>
      <w:r>
        <w:rPr>
          <w:rFonts w:ascii="Times New Roman" w:eastAsiaTheme="minorEastAsia" w:hAnsi="Times New Roman"/>
          <w:sz w:val="24"/>
          <w:szCs w:val="24"/>
          <w:lang w:val="en-US"/>
        </w:rPr>
        <w:t>es in 2012.</w:t>
      </w:r>
    </w:p>
    <w:p w:rsidR="002B70B1" w:rsidRPr="00B17E9A" w:rsidRDefault="002B70B1" w:rsidP="002B70B1">
      <w:pPr>
        <w:spacing w:after="0"/>
        <w:jc w:val="both"/>
        <w:rPr>
          <w:rFonts w:ascii="Times New Roman" w:eastAsiaTheme="minorEastAsia" w:hAnsi="Times New Roman"/>
          <w:sz w:val="24"/>
          <w:szCs w:val="24"/>
          <w:lang w:val="en-US"/>
        </w:rPr>
      </w:pPr>
    </w:p>
    <w:p w:rsidR="002B70B1" w:rsidRDefault="002B70B1" w:rsidP="002B70B1">
      <w:pPr>
        <w:spacing w:after="0"/>
        <w:jc w:val="both"/>
        <w:rPr>
          <w:rFonts w:ascii="Times New Roman" w:eastAsiaTheme="minorEastAsia" w:hAnsi="Times New Roman"/>
          <w:sz w:val="24"/>
          <w:szCs w:val="24"/>
          <w:lang w:val="en-US"/>
        </w:rPr>
      </w:pPr>
      <w:r w:rsidRPr="00B17E9A">
        <w:rPr>
          <w:rFonts w:ascii="Times New Roman" w:eastAsiaTheme="minorEastAsia" w:hAnsi="Times New Roman"/>
          <w:sz w:val="24"/>
          <w:szCs w:val="24"/>
          <w:lang w:val="en-US"/>
        </w:rPr>
        <w:t xml:space="preserve">The Executive Committee for </w:t>
      </w:r>
      <w:r>
        <w:rPr>
          <w:rFonts w:ascii="Times New Roman" w:eastAsiaTheme="minorEastAsia" w:hAnsi="Times New Roman"/>
          <w:sz w:val="24"/>
          <w:szCs w:val="24"/>
          <w:lang w:val="en-US"/>
        </w:rPr>
        <w:t xml:space="preserve">the </w:t>
      </w:r>
      <w:r w:rsidRPr="00B17E9A">
        <w:rPr>
          <w:rFonts w:ascii="Times New Roman" w:eastAsiaTheme="minorEastAsia" w:hAnsi="Times New Roman"/>
          <w:sz w:val="24"/>
          <w:szCs w:val="24"/>
          <w:lang w:val="en-US"/>
        </w:rPr>
        <w:t>NGO Forum on CEDAW</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Turkey </w:t>
      </w:r>
      <w:r>
        <w:rPr>
          <w:rFonts w:ascii="Times New Roman" w:eastAsiaTheme="minorEastAsia" w:hAnsi="Times New Roman"/>
          <w:sz w:val="24"/>
          <w:szCs w:val="24"/>
          <w:lang w:val="en-US"/>
        </w:rPr>
        <w:t xml:space="preserve">(also called the CEDAW Civil Society Executive Committee in Turkey) </w:t>
      </w:r>
      <w:r w:rsidRPr="00B17E9A">
        <w:rPr>
          <w:rFonts w:ascii="Times New Roman" w:eastAsiaTheme="minorEastAsia" w:hAnsi="Times New Roman"/>
          <w:sz w:val="24"/>
          <w:szCs w:val="24"/>
          <w:lang w:val="en-US"/>
        </w:rPr>
        <w:t>and the Women’s Platform on the Turkish Penal Code have drafted this follow up shadow report in order to provide an overview of the developments</w:t>
      </w:r>
      <w:r>
        <w:rPr>
          <w:rFonts w:ascii="Times New Roman" w:eastAsiaTheme="minorEastAsia" w:hAnsi="Times New Roman"/>
          <w:sz w:val="24"/>
          <w:szCs w:val="24"/>
          <w:lang w:val="en-US"/>
        </w:rPr>
        <w:t xml:space="preserve">, as seen </w:t>
      </w:r>
      <w:r>
        <w:rPr>
          <w:rFonts w:ascii="Times New Roman" w:hAnsi="Times New Roman"/>
          <w:sz w:val="24"/>
          <w:szCs w:val="24"/>
          <w:lang w:val="en-US"/>
        </w:rPr>
        <w:t>f</w:t>
      </w:r>
      <w:r w:rsidRPr="00B17E9A">
        <w:rPr>
          <w:rFonts w:ascii="Times New Roman" w:eastAsiaTheme="minorEastAsia" w:hAnsi="Times New Roman"/>
          <w:sz w:val="24"/>
          <w:szCs w:val="24"/>
          <w:lang w:val="en-US"/>
        </w:rPr>
        <w:t>rom the perspective of civil society</w:t>
      </w:r>
      <w:r>
        <w:rPr>
          <w:rFonts w:ascii="Times New Roman" w:eastAsiaTheme="minorEastAsia" w:hAnsi="Times New Roman"/>
          <w:sz w:val="24"/>
          <w:szCs w:val="24"/>
          <w:lang w:val="en-US"/>
        </w:rPr>
        <w:t>, regarding</w:t>
      </w:r>
      <w:r w:rsidRPr="00B17E9A">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the elimination of </w:t>
      </w:r>
      <w:r w:rsidRPr="00B17E9A">
        <w:rPr>
          <w:rFonts w:ascii="Times New Roman" w:eastAsiaTheme="minorEastAsia" w:hAnsi="Times New Roman"/>
          <w:sz w:val="24"/>
          <w:szCs w:val="24"/>
          <w:lang w:val="en-US"/>
        </w:rPr>
        <w:t>violence against women in the period elapsed since 2010</w:t>
      </w:r>
      <w:r>
        <w:rPr>
          <w:rFonts w:ascii="Times New Roman" w:eastAsiaTheme="minorEastAsia" w:hAnsi="Times New Roman"/>
          <w:sz w:val="24"/>
          <w:szCs w:val="24"/>
          <w:lang w:val="en-US"/>
        </w:rPr>
        <w:t>.</w:t>
      </w:r>
    </w:p>
    <w:p w:rsidR="002B70B1" w:rsidRDefault="002B70B1" w:rsidP="002B70B1">
      <w:pPr>
        <w:spacing w:after="0"/>
        <w:jc w:val="both"/>
        <w:rPr>
          <w:rFonts w:ascii="Times New Roman" w:eastAsiaTheme="minorEastAsia" w:hAnsi="Times New Roman"/>
          <w:sz w:val="24"/>
          <w:szCs w:val="24"/>
          <w:lang w:val="en-US"/>
        </w:rPr>
      </w:pPr>
    </w:p>
    <w:p w:rsidR="002B70B1" w:rsidRPr="00D04BD1" w:rsidRDefault="002B70B1" w:rsidP="002B70B1">
      <w:pPr>
        <w:tabs>
          <w:tab w:val="left" w:pos="0"/>
        </w:tabs>
        <w:spacing w:after="0"/>
        <w:jc w:val="both"/>
        <w:rPr>
          <w:rFonts w:ascii="Times New Roman" w:hAnsi="Times New Roman"/>
          <w:sz w:val="24"/>
          <w:szCs w:val="24"/>
          <w:lang w:val="en-US"/>
        </w:rPr>
      </w:pPr>
      <w:r>
        <w:rPr>
          <w:rFonts w:ascii="Times New Roman" w:eastAsiaTheme="minorEastAsia" w:hAnsi="Times New Roman"/>
          <w:sz w:val="24"/>
          <w:szCs w:val="24"/>
          <w:lang w:val="en-US"/>
        </w:rPr>
        <w:t xml:space="preserve">As referred to in the Government’s interim report, much has been done by the government to prevent violence against women. To mention the most prominent ones, the Government of Turkey first of all played a leading role in signing and ratifying the </w:t>
      </w:r>
      <w:r w:rsidRPr="00D04BD1">
        <w:rPr>
          <w:rFonts w:ascii="Times New Roman" w:hAnsi="Times New Roman"/>
          <w:sz w:val="24"/>
          <w:szCs w:val="24"/>
          <w:lang w:val="en-US"/>
        </w:rPr>
        <w:t>Council of Europe Convention</w:t>
      </w:r>
      <w:r>
        <w:rPr>
          <w:rFonts w:ascii="Times New Roman" w:hAnsi="Times New Roman"/>
          <w:sz w:val="24"/>
          <w:szCs w:val="24"/>
          <w:lang w:val="en-US"/>
        </w:rPr>
        <w:t xml:space="preserve"> on Preventing and C</w:t>
      </w:r>
      <w:r w:rsidRPr="00D04BD1">
        <w:rPr>
          <w:rFonts w:ascii="Times New Roman" w:hAnsi="Times New Roman"/>
          <w:sz w:val="24"/>
          <w:szCs w:val="24"/>
          <w:lang w:val="en-US"/>
        </w:rPr>
        <w:t>ombating</w:t>
      </w:r>
      <w:r>
        <w:rPr>
          <w:rFonts w:ascii="Times New Roman" w:hAnsi="Times New Roman"/>
          <w:sz w:val="24"/>
          <w:szCs w:val="24"/>
          <w:lang w:val="en-US"/>
        </w:rPr>
        <w:t xml:space="preserve"> Violence against </w:t>
      </w:r>
      <w:r w:rsidRPr="004D5829">
        <w:rPr>
          <w:rFonts w:ascii="Times New Roman" w:hAnsi="Times New Roman"/>
          <w:sz w:val="24"/>
          <w:szCs w:val="24"/>
          <w:lang w:val="en-US"/>
        </w:rPr>
        <w:t>Women</w:t>
      </w:r>
      <w:r>
        <w:rPr>
          <w:rFonts w:ascii="Times New Roman" w:hAnsi="Times New Roman"/>
          <w:sz w:val="24"/>
          <w:szCs w:val="24"/>
          <w:lang w:val="en-US"/>
        </w:rPr>
        <w:t xml:space="preserve"> (the Istanbul Convention)</w:t>
      </w:r>
      <w:r w:rsidRPr="004D5829">
        <w:rPr>
          <w:rFonts w:ascii="Times New Roman" w:hAnsi="Times New Roman"/>
          <w:sz w:val="24"/>
          <w:szCs w:val="24"/>
          <w:lang w:val="en-US"/>
        </w:rPr>
        <w:t xml:space="preserve">. </w:t>
      </w:r>
      <w:r>
        <w:rPr>
          <w:rFonts w:ascii="Times New Roman" w:hAnsi="Times New Roman"/>
          <w:sz w:val="24"/>
          <w:szCs w:val="24"/>
          <w:lang w:val="en-US"/>
        </w:rPr>
        <w:t xml:space="preserve">Second, the Government made a new law entitled the Protection of the Family and Prevention of Violence against Women that widened the scope and the role of jurisdiction, expanded the involvement of governmental organizations, and introduced new structures for better methods for the prevention of violence against women. In addition, a new department called ŞÖNİM (the Center for Preventing and Monitoring Violence) within the Ministry of Family and Social Policies has been </w:t>
      </w:r>
      <w:r w:rsidR="008A5D0B">
        <w:rPr>
          <w:rFonts w:ascii="Times New Roman" w:hAnsi="Times New Roman"/>
          <w:sz w:val="24"/>
          <w:szCs w:val="24"/>
          <w:lang w:val="en-US"/>
        </w:rPr>
        <w:t xml:space="preserve">in the process of being </w:t>
      </w:r>
      <w:r>
        <w:rPr>
          <w:rFonts w:ascii="Times New Roman" w:hAnsi="Times New Roman"/>
          <w:sz w:val="24"/>
          <w:szCs w:val="24"/>
          <w:lang w:val="en-US"/>
        </w:rPr>
        <w:t xml:space="preserve">established. </w:t>
      </w:r>
      <w:r w:rsidRPr="005A4074">
        <w:rPr>
          <w:rFonts w:ascii="Times New Roman" w:hAnsi="Times New Roman"/>
          <w:sz w:val="24"/>
          <w:szCs w:val="24"/>
          <w:lang w:val="en-US"/>
        </w:rPr>
        <w:t>Given the boom in the number and frequency of femicide cases</w:t>
      </w:r>
      <w:r w:rsidRPr="005A4074">
        <w:rPr>
          <w:rStyle w:val="DipnotBavurusu"/>
          <w:rFonts w:ascii="Times New Roman" w:hAnsi="Times New Roman"/>
          <w:sz w:val="24"/>
          <w:szCs w:val="24"/>
          <w:lang w:val="en-US"/>
        </w:rPr>
        <w:footnoteReference w:id="2"/>
      </w:r>
      <w:r w:rsidRPr="005A4074">
        <w:rPr>
          <w:rFonts w:ascii="Times New Roman" w:hAnsi="Times New Roman"/>
          <w:sz w:val="24"/>
          <w:szCs w:val="24"/>
          <w:lang w:val="en-US"/>
        </w:rPr>
        <w:t xml:space="preserve"> and </w:t>
      </w:r>
      <w:r>
        <w:rPr>
          <w:rFonts w:ascii="Times New Roman" w:hAnsi="Times New Roman"/>
          <w:sz w:val="24"/>
          <w:szCs w:val="24"/>
          <w:lang w:val="en-US"/>
        </w:rPr>
        <w:t xml:space="preserve">the </w:t>
      </w:r>
      <w:r w:rsidRPr="005A4074">
        <w:rPr>
          <w:rFonts w:ascii="Times New Roman" w:hAnsi="Times New Roman"/>
          <w:sz w:val="24"/>
          <w:szCs w:val="24"/>
          <w:lang w:val="en-US"/>
        </w:rPr>
        <w:t>high percentage of domestic violence,</w:t>
      </w:r>
      <w:r w:rsidRPr="005A4074">
        <w:rPr>
          <w:rStyle w:val="DipnotBavurusu"/>
          <w:rFonts w:ascii="Times New Roman" w:hAnsi="Times New Roman"/>
          <w:sz w:val="24"/>
          <w:szCs w:val="24"/>
          <w:lang w:val="en-US"/>
        </w:rPr>
        <w:footnoteReference w:id="3"/>
      </w:r>
      <w:r w:rsidRPr="005A4074">
        <w:rPr>
          <w:rFonts w:ascii="Times New Roman" w:hAnsi="Times New Roman"/>
          <w:sz w:val="24"/>
          <w:szCs w:val="24"/>
          <w:lang w:val="en-US"/>
        </w:rPr>
        <w:t xml:space="preserve"> these and other developments concerning violence against women have been both an indication of significant attention paid </w:t>
      </w:r>
      <w:r>
        <w:rPr>
          <w:rFonts w:ascii="Times New Roman" w:hAnsi="Times New Roman"/>
          <w:sz w:val="24"/>
          <w:szCs w:val="24"/>
          <w:lang w:val="en-US"/>
        </w:rPr>
        <w:t xml:space="preserve">to </w:t>
      </w:r>
      <w:r w:rsidRPr="005A4074">
        <w:rPr>
          <w:rFonts w:ascii="Times New Roman" w:hAnsi="Times New Roman"/>
          <w:sz w:val="24"/>
          <w:szCs w:val="24"/>
          <w:lang w:val="en-US"/>
        </w:rPr>
        <w:t xml:space="preserve">and </w:t>
      </w:r>
      <w:r>
        <w:rPr>
          <w:rFonts w:ascii="Times New Roman" w:hAnsi="Times New Roman"/>
          <w:sz w:val="24"/>
          <w:szCs w:val="24"/>
          <w:lang w:val="en-US"/>
        </w:rPr>
        <w:t xml:space="preserve">the </w:t>
      </w:r>
      <w:r w:rsidRPr="005A4074">
        <w:rPr>
          <w:rFonts w:ascii="Times New Roman" w:hAnsi="Times New Roman"/>
          <w:sz w:val="24"/>
          <w:szCs w:val="24"/>
          <w:lang w:val="en-US"/>
        </w:rPr>
        <w:t>priority given by the Government to the problem of violence against women.</w:t>
      </w:r>
      <w:r>
        <w:rPr>
          <w:rFonts w:ascii="Times New Roman" w:hAnsi="Times New Roman"/>
          <w:sz w:val="24"/>
          <w:szCs w:val="24"/>
          <w:lang w:val="en-US"/>
        </w:rPr>
        <w:t xml:space="preserve"> </w:t>
      </w:r>
    </w:p>
    <w:p w:rsidR="002B70B1" w:rsidRDefault="002B70B1" w:rsidP="002B70B1">
      <w:pPr>
        <w:spacing w:after="0"/>
        <w:jc w:val="both"/>
        <w:rPr>
          <w:rFonts w:ascii="Times New Roman" w:eastAsiaTheme="minorEastAsia" w:hAnsi="Times New Roman"/>
          <w:sz w:val="24"/>
          <w:szCs w:val="24"/>
          <w:lang w:val="en-US"/>
        </w:rPr>
      </w:pPr>
    </w:p>
    <w:p w:rsidR="002B70B1" w:rsidRDefault="002B70B1" w:rsidP="002B70B1">
      <w:pPr>
        <w:spacing w:after="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Despite</w:t>
      </w:r>
      <w:r w:rsidRPr="00B17E9A">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the above-mentioned and other positive developments</w:t>
      </w:r>
      <w:r w:rsidR="008A5D0B">
        <w:rPr>
          <w:rFonts w:ascii="Times New Roman" w:eastAsiaTheme="minorEastAsia" w:hAnsi="Times New Roman"/>
          <w:sz w:val="24"/>
          <w:szCs w:val="24"/>
          <w:lang w:val="en-US"/>
        </w:rPr>
        <w:t xml:space="preserve"> to which women’s rights-based organizations contributed notably through monitoring, lobbying and the like</w:t>
      </w:r>
      <w:r>
        <w:rPr>
          <w:rFonts w:ascii="Times New Roman" w:eastAsiaTheme="minorEastAsia" w:hAnsi="Times New Roman"/>
          <w:sz w:val="24"/>
          <w:szCs w:val="24"/>
          <w:lang w:val="en-US"/>
        </w:rPr>
        <w:t xml:space="preserve">, women’s organizations have a </w:t>
      </w:r>
      <w:r w:rsidRPr="00B17E9A">
        <w:rPr>
          <w:rFonts w:ascii="Times New Roman" w:eastAsiaTheme="minorEastAsia" w:hAnsi="Times New Roman"/>
          <w:sz w:val="24"/>
          <w:szCs w:val="24"/>
          <w:lang w:val="en-US"/>
        </w:rPr>
        <w:t xml:space="preserve">growing concern regarding a backlash in terms of </w:t>
      </w:r>
      <w:r>
        <w:rPr>
          <w:rFonts w:ascii="Times New Roman" w:eastAsiaTheme="minorEastAsia" w:hAnsi="Times New Roman"/>
          <w:sz w:val="24"/>
          <w:szCs w:val="24"/>
          <w:lang w:val="en-US"/>
        </w:rPr>
        <w:t xml:space="preserve">the </w:t>
      </w:r>
      <w:r w:rsidRPr="00B17E9A">
        <w:rPr>
          <w:rFonts w:ascii="Times New Roman" w:eastAsiaTheme="minorEastAsia" w:hAnsi="Times New Roman"/>
          <w:sz w:val="24"/>
          <w:szCs w:val="24"/>
          <w:lang w:val="en-US"/>
        </w:rPr>
        <w:t>rights gained a</w:t>
      </w:r>
      <w:r>
        <w:rPr>
          <w:rFonts w:ascii="Times New Roman" w:eastAsiaTheme="minorEastAsia" w:hAnsi="Times New Roman"/>
          <w:sz w:val="24"/>
          <w:szCs w:val="24"/>
          <w:lang w:val="en-US"/>
        </w:rPr>
        <w:t xml:space="preserve">s foreseen in the CEDAW principles. This is because of the overall socio-political context in which women’s human rights in Turkey are at present, the situation of which is outlined in </w:t>
      </w:r>
      <w:r w:rsidRPr="00CE6D56">
        <w:rPr>
          <w:rFonts w:ascii="Times New Roman" w:eastAsiaTheme="minorEastAsia" w:hAnsi="Times New Roman"/>
          <w:sz w:val="24"/>
          <w:szCs w:val="24"/>
          <w:lang w:val="en-US"/>
        </w:rPr>
        <w:t xml:space="preserve">this </w:t>
      </w:r>
      <w:r>
        <w:rPr>
          <w:rFonts w:ascii="Times New Roman" w:eastAsiaTheme="minorEastAsia" w:hAnsi="Times New Roman"/>
          <w:sz w:val="24"/>
          <w:szCs w:val="24"/>
          <w:lang w:val="en-US"/>
        </w:rPr>
        <w:t xml:space="preserve">report. </w:t>
      </w:r>
    </w:p>
    <w:p w:rsidR="002B70B1" w:rsidRDefault="002B70B1" w:rsidP="002B70B1">
      <w:pPr>
        <w:spacing w:after="0"/>
        <w:jc w:val="both"/>
        <w:rPr>
          <w:rFonts w:ascii="Times New Roman" w:eastAsiaTheme="minorEastAsia" w:hAnsi="Times New Roman"/>
          <w:sz w:val="24"/>
          <w:szCs w:val="24"/>
          <w:lang w:val="en-US"/>
        </w:rPr>
      </w:pPr>
    </w:p>
    <w:p w:rsidR="002B70B1" w:rsidRDefault="002B70B1" w:rsidP="002B70B1">
      <w:pPr>
        <w:spacing w:after="0"/>
        <w:jc w:val="both"/>
        <w:rPr>
          <w:rFonts w:ascii="Times New Roman" w:eastAsiaTheme="minorEastAsia" w:hAnsi="Times New Roman"/>
          <w:sz w:val="24"/>
          <w:szCs w:val="24"/>
          <w:lang w:val="en-US"/>
        </w:rPr>
      </w:pPr>
    </w:p>
    <w:p w:rsidR="002B70B1" w:rsidRDefault="002B70B1" w:rsidP="002B70B1">
      <w:pPr>
        <w:spacing w:after="0"/>
        <w:jc w:val="both"/>
        <w:rPr>
          <w:rFonts w:ascii="Times New Roman" w:eastAsiaTheme="minorEastAsia" w:hAnsi="Times New Roman"/>
          <w:b/>
          <w:sz w:val="24"/>
          <w:szCs w:val="24"/>
          <w:lang w:val="en-US"/>
        </w:rPr>
      </w:pPr>
      <w:r w:rsidRPr="000002AC">
        <w:rPr>
          <w:rFonts w:ascii="Times New Roman" w:eastAsiaTheme="minorEastAsia" w:hAnsi="Times New Roman"/>
          <w:b/>
          <w:sz w:val="24"/>
          <w:szCs w:val="24"/>
          <w:lang w:val="en-US"/>
        </w:rPr>
        <w:t xml:space="preserve">Relevant </w:t>
      </w:r>
      <w:r w:rsidRPr="00D640C2">
        <w:rPr>
          <w:rFonts w:ascii="Times New Roman" w:eastAsiaTheme="minorEastAsia" w:hAnsi="Times New Roman"/>
          <w:b/>
          <w:sz w:val="24"/>
          <w:szCs w:val="24"/>
          <w:lang w:val="en-US"/>
        </w:rPr>
        <w:t>articles:</w:t>
      </w:r>
    </w:p>
    <w:p w:rsidR="002B70B1" w:rsidRDefault="002B70B1" w:rsidP="002B70B1">
      <w:pPr>
        <w:spacing w:after="0"/>
        <w:jc w:val="both"/>
        <w:rPr>
          <w:rFonts w:ascii="Times New Roman" w:eastAsiaTheme="minorEastAsia" w:hAnsi="Times New Roman"/>
          <w:b/>
          <w:sz w:val="24"/>
          <w:szCs w:val="24"/>
          <w:lang w:val="en-US"/>
        </w:rPr>
      </w:pPr>
    </w:p>
    <w:p w:rsidR="002B70B1" w:rsidRPr="00B17E9A" w:rsidRDefault="002B70B1" w:rsidP="002B70B1">
      <w:pPr>
        <w:spacing w:after="0"/>
        <w:jc w:val="both"/>
        <w:rPr>
          <w:rFonts w:ascii="Times New Roman" w:eastAsiaTheme="minorEastAsia" w:hAnsi="Times New Roman"/>
          <w:b/>
          <w:sz w:val="24"/>
          <w:szCs w:val="24"/>
          <w:lang w:val="en-US"/>
        </w:rPr>
      </w:pPr>
      <w:r w:rsidRPr="00D640C2">
        <w:rPr>
          <w:rFonts w:ascii="Times New Roman" w:eastAsiaTheme="minorEastAsia" w:hAnsi="Times New Roman"/>
          <w:b/>
          <w:sz w:val="24"/>
          <w:szCs w:val="24"/>
          <w:lang w:val="en-US"/>
        </w:rPr>
        <w:t>CEDAW</w:t>
      </w:r>
      <w:r w:rsidRPr="00B17E9A">
        <w:rPr>
          <w:rFonts w:ascii="Times New Roman" w:eastAsiaTheme="minorEastAsia" w:hAnsi="Times New Roman"/>
          <w:b/>
          <w:sz w:val="24"/>
          <w:szCs w:val="24"/>
          <w:lang w:val="en-US"/>
        </w:rPr>
        <w:t xml:space="preserve"> Convention Articles 2.f, and 5 (elimination of prejudices and </w:t>
      </w:r>
      <w:r>
        <w:rPr>
          <w:rFonts w:ascii="Times New Roman" w:eastAsiaTheme="minorEastAsia" w:hAnsi="Times New Roman"/>
          <w:b/>
          <w:sz w:val="24"/>
          <w:szCs w:val="24"/>
          <w:lang w:val="en-US"/>
        </w:rPr>
        <w:t>cultural</w:t>
      </w:r>
      <w:r w:rsidRPr="00B17E9A">
        <w:rPr>
          <w:rFonts w:ascii="Times New Roman" w:eastAsiaTheme="minorEastAsia" w:hAnsi="Times New Roman"/>
          <w:b/>
          <w:sz w:val="24"/>
          <w:szCs w:val="24"/>
          <w:lang w:val="en-US"/>
        </w:rPr>
        <w:t xml:space="preserve"> practices), 10, 12: </w:t>
      </w:r>
    </w:p>
    <w:p w:rsidR="002B70B1" w:rsidRDefault="002B70B1" w:rsidP="002B70B1">
      <w:pPr>
        <w:spacing w:after="0"/>
        <w:jc w:val="both"/>
        <w:rPr>
          <w:rFonts w:ascii="Times New Roman" w:eastAsiaTheme="minorEastAsia" w:hAnsi="Times New Roman"/>
          <w:b/>
          <w:sz w:val="24"/>
          <w:szCs w:val="24"/>
          <w:lang w:val="en-US"/>
        </w:rPr>
      </w:pPr>
    </w:p>
    <w:p w:rsidR="002B70B1" w:rsidRPr="00B17E9A" w:rsidRDefault="002B70B1" w:rsidP="002B70B1">
      <w:pPr>
        <w:spacing w:after="0"/>
        <w:jc w:val="both"/>
        <w:rPr>
          <w:rFonts w:ascii="Times New Roman" w:eastAsiaTheme="minorEastAsia" w:hAnsi="Times New Roman"/>
          <w:b/>
          <w:sz w:val="24"/>
          <w:szCs w:val="24"/>
          <w:lang w:val="en-US"/>
        </w:rPr>
      </w:pPr>
      <w:r w:rsidRPr="00B17E9A">
        <w:rPr>
          <w:rFonts w:ascii="Times New Roman" w:eastAsiaTheme="minorEastAsia" w:hAnsi="Times New Roman"/>
          <w:b/>
          <w:sz w:val="24"/>
          <w:szCs w:val="24"/>
          <w:lang w:val="en-US"/>
        </w:rPr>
        <w:t xml:space="preserve">Concluding Comments Paragraphs 20 and 21 under the heading “Stereotypes, Cultural Practices”: </w:t>
      </w:r>
    </w:p>
    <w:p w:rsidR="002B70B1" w:rsidRDefault="002B70B1" w:rsidP="002B70B1">
      <w:pPr>
        <w:spacing w:after="0"/>
        <w:jc w:val="both"/>
        <w:rPr>
          <w:rFonts w:ascii="Times New Roman" w:eastAsiaTheme="minorEastAsia" w:hAnsi="Times New Roman"/>
          <w:sz w:val="24"/>
          <w:szCs w:val="24"/>
          <w:lang w:val="en-US"/>
        </w:rPr>
      </w:pPr>
    </w:p>
    <w:p w:rsidR="002B70B1" w:rsidRDefault="002B70B1" w:rsidP="002B70B1">
      <w:pPr>
        <w:spacing w:after="0"/>
        <w:jc w:val="both"/>
        <w:rPr>
          <w:rFonts w:ascii="Times New Roman" w:eastAsiaTheme="minorEastAsia" w:hAnsi="Times New Roman"/>
          <w:sz w:val="24"/>
          <w:szCs w:val="24"/>
          <w:lang w:val="en-US"/>
        </w:rPr>
      </w:pPr>
      <w:r w:rsidRPr="00B17E9A">
        <w:rPr>
          <w:rFonts w:ascii="Times New Roman" w:eastAsiaTheme="minorEastAsia" w:hAnsi="Times New Roman"/>
          <w:sz w:val="24"/>
          <w:szCs w:val="24"/>
          <w:lang w:val="en-US"/>
        </w:rPr>
        <w:t>The 2010 Shadow Report submitted to the CEDAW Committee by the Executive Committee for NGO Forum on CEDAW – Turkey and the Women’s Platform on the Turkish Penal Code underscored two major root causes for the inadequacies in the elimination of all forms of discrimination against women in Turke</w:t>
      </w:r>
      <w:r>
        <w:rPr>
          <w:rFonts w:ascii="Times New Roman" w:eastAsiaTheme="minorEastAsia" w:hAnsi="Times New Roman"/>
          <w:sz w:val="24"/>
          <w:szCs w:val="24"/>
          <w:lang w:val="en-US"/>
        </w:rPr>
        <w:t>y:</w:t>
      </w:r>
    </w:p>
    <w:p w:rsidR="002B70B1" w:rsidRPr="00B17E9A" w:rsidRDefault="002B70B1" w:rsidP="002B70B1">
      <w:pPr>
        <w:spacing w:after="0"/>
        <w:jc w:val="both"/>
        <w:rPr>
          <w:rFonts w:ascii="Times New Roman" w:eastAsiaTheme="minorEastAsia" w:hAnsi="Times New Roman"/>
          <w:sz w:val="24"/>
          <w:szCs w:val="24"/>
          <w:lang w:val="en-US"/>
        </w:rPr>
      </w:pPr>
    </w:p>
    <w:p w:rsidR="002B70B1" w:rsidRDefault="002B70B1" w:rsidP="002B70B1">
      <w:pPr>
        <w:shd w:val="clear" w:color="auto" w:fill="FFFFFF" w:themeFill="background1"/>
        <w:spacing w:after="0"/>
        <w:jc w:val="both"/>
        <w:rPr>
          <w:rFonts w:ascii="Times New Roman" w:eastAsiaTheme="minorEastAsia" w:hAnsi="Times New Roman"/>
          <w:b/>
          <w:i/>
          <w:sz w:val="24"/>
          <w:szCs w:val="24"/>
          <w:lang w:val="en-US"/>
        </w:rPr>
      </w:pPr>
      <w:r w:rsidRPr="0034210A">
        <w:rPr>
          <w:rFonts w:ascii="Times New Roman" w:eastAsiaTheme="minorEastAsia" w:hAnsi="Times New Roman"/>
          <w:b/>
          <w:i/>
          <w:sz w:val="24"/>
          <w:szCs w:val="24"/>
          <w:lang w:val="en-US"/>
        </w:rPr>
        <w:t>a)</w:t>
      </w:r>
      <w:r w:rsidRPr="0034210A">
        <w:rPr>
          <w:rFonts w:ascii="Times New Roman" w:eastAsiaTheme="minorEastAsia" w:hAnsi="Times New Roman"/>
          <w:i/>
          <w:sz w:val="24"/>
          <w:szCs w:val="24"/>
          <w:lang w:val="en-US"/>
        </w:rPr>
        <w:t xml:space="preserve"> </w:t>
      </w:r>
      <w:r w:rsidRPr="0034210A">
        <w:rPr>
          <w:rFonts w:ascii="Times New Roman" w:eastAsiaTheme="minorEastAsia" w:hAnsi="Times New Roman"/>
          <w:b/>
          <w:i/>
          <w:sz w:val="24"/>
          <w:szCs w:val="24"/>
          <w:lang w:val="en-US"/>
        </w:rPr>
        <w:t>Increasing conservatism and the conservative discourse and policies</w:t>
      </w:r>
      <w:r>
        <w:rPr>
          <w:rFonts w:ascii="Times New Roman" w:eastAsiaTheme="minorEastAsia" w:hAnsi="Times New Roman"/>
          <w:b/>
          <w:i/>
          <w:sz w:val="24"/>
          <w:szCs w:val="24"/>
          <w:lang w:val="en-US"/>
        </w:rPr>
        <w:t xml:space="preserve"> employed by the government</w:t>
      </w:r>
    </w:p>
    <w:p w:rsidR="002B70B1" w:rsidRPr="0034210A" w:rsidRDefault="002B70B1" w:rsidP="002B70B1">
      <w:pPr>
        <w:shd w:val="clear" w:color="auto" w:fill="FFFFFF" w:themeFill="background1"/>
        <w:spacing w:after="0"/>
        <w:jc w:val="both"/>
        <w:rPr>
          <w:rFonts w:ascii="Times New Roman" w:eastAsiaTheme="minorEastAsia" w:hAnsi="Times New Roman"/>
          <w:b/>
          <w:i/>
          <w:sz w:val="24"/>
          <w:szCs w:val="24"/>
          <w:lang w:val="en-US"/>
        </w:rPr>
      </w:pPr>
    </w:p>
    <w:p w:rsidR="002B70B1" w:rsidRPr="0034210A" w:rsidRDefault="002B70B1" w:rsidP="002B70B1">
      <w:pPr>
        <w:shd w:val="clear" w:color="auto" w:fill="FFFFFF" w:themeFill="background1"/>
        <w:spacing w:after="0"/>
        <w:jc w:val="both"/>
        <w:rPr>
          <w:rFonts w:ascii="Times New Roman" w:eastAsiaTheme="minorEastAsia" w:hAnsi="Times New Roman"/>
          <w:i/>
          <w:sz w:val="24"/>
          <w:szCs w:val="24"/>
          <w:lang w:val="en-US"/>
        </w:rPr>
      </w:pPr>
      <w:r w:rsidRPr="0034210A">
        <w:rPr>
          <w:rFonts w:ascii="Times New Roman" w:eastAsiaTheme="minorEastAsia" w:hAnsi="Times New Roman"/>
          <w:b/>
          <w:i/>
          <w:sz w:val="24"/>
          <w:szCs w:val="24"/>
          <w:lang w:val="en-US"/>
        </w:rPr>
        <w:t xml:space="preserve">b) The </w:t>
      </w:r>
      <w:r>
        <w:rPr>
          <w:rFonts w:ascii="Times New Roman" w:eastAsiaTheme="minorEastAsia" w:hAnsi="Times New Roman"/>
          <w:b/>
          <w:i/>
          <w:sz w:val="24"/>
          <w:szCs w:val="24"/>
          <w:lang w:val="en-US"/>
        </w:rPr>
        <w:t>insufficiency</w:t>
      </w:r>
      <w:r w:rsidRPr="0034210A">
        <w:rPr>
          <w:rFonts w:ascii="Times New Roman" w:eastAsiaTheme="minorEastAsia" w:hAnsi="Times New Roman"/>
          <w:b/>
          <w:i/>
          <w:sz w:val="24"/>
          <w:szCs w:val="24"/>
          <w:lang w:val="en-US"/>
        </w:rPr>
        <w:t xml:space="preserve"> of political </w:t>
      </w:r>
      <w:r>
        <w:rPr>
          <w:rFonts w:ascii="Times New Roman" w:eastAsiaTheme="minorEastAsia" w:hAnsi="Times New Roman"/>
          <w:b/>
          <w:i/>
          <w:sz w:val="24"/>
          <w:szCs w:val="24"/>
          <w:lang w:val="en-US"/>
        </w:rPr>
        <w:t>commitment</w:t>
      </w:r>
      <w:r w:rsidRPr="0034210A">
        <w:rPr>
          <w:rFonts w:ascii="Times New Roman" w:eastAsiaTheme="minorEastAsia" w:hAnsi="Times New Roman"/>
          <w:b/>
          <w:i/>
          <w:sz w:val="24"/>
          <w:szCs w:val="24"/>
          <w:lang w:val="en-US"/>
        </w:rPr>
        <w:t xml:space="preserve"> for the elimination of all forms of discrimination against women</w:t>
      </w:r>
      <w:r w:rsidRPr="0034210A">
        <w:rPr>
          <w:rFonts w:ascii="Times New Roman" w:eastAsiaTheme="minorEastAsia" w:hAnsi="Times New Roman"/>
          <w:i/>
          <w:sz w:val="24"/>
          <w:szCs w:val="24"/>
          <w:lang w:val="en-US"/>
        </w:rPr>
        <w:t xml:space="preserve"> </w:t>
      </w:r>
    </w:p>
    <w:p w:rsidR="002B70B1" w:rsidRDefault="002B70B1" w:rsidP="002B70B1">
      <w:pPr>
        <w:shd w:val="clear" w:color="auto" w:fill="FFFFFF" w:themeFill="background1"/>
        <w:spacing w:after="0"/>
        <w:jc w:val="both"/>
        <w:rPr>
          <w:rFonts w:ascii="Times New Roman" w:eastAsiaTheme="minorEastAsia" w:hAnsi="Times New Roman"/>
          <w:sz w:val="24"/>
          <w:szCs w:val="24"/>
          <w:lang w:val="en-US"/>
        </w:rPr>
      </w:pPr>
    </w:p>
    <w:p w:rsidR="002B70B1" w:rsidRDefault="002B70B1" w:rsidP="002B70B1">
      <w:pPr>
        <w:shd w:val="clear" w:color="auto" w:fill="FFFFFF" w:themeFill="background1"/>
        <w:spacing w:after="0"/>
        <w:jc w:val="both"/>
        <w:rPr>
          <w:rFonts w:ascii="Times New Roman" w:eastAsiaTheme="minorEastAsia" w:hAnsi="Times New Roman"/>
          <w:sz w:val="24"/>
          <w:szCs w:val="24"/>
          <w:lang w:val="en-US"/>
        </w:rPr>
      </w:pPr>
      <w:r w:rsidRPr="00B17E9A">
        <w:rPr>
          <w:rFonts w:ascii="Times New Roman" w:eastAsiaTheme="minorEastAsia" w:hAnsi="Times New Roman"/>
          <w:sz w:val="24"/>
          <w:szCs w:val="24"/>
          <w:lang w:val="en-US"/>
        </w:rPr>
        <w:t xml:space="preserve">The same report argued that while there were still shortcomings in legislation, the main problem </w:t>
      </w:r>
      <w:r>
        <w:rPr>
          <w:rFonts w:ascii="Times New Roman" w:eastAsiaTheme="minorEastAsia" w:hAnsi="Times New Roman"/>
          <w:sz w:val="24"/>
          <w:szCs w:val="24"/>
          <w:lang w:val="en-US"/>
        </w:rPr>
        <w:t>with</w:t>
      </w:r>
      <w:r w:rsidRPr="00B17E9A">
        <w:rPr>
          <w:rFonts w:ascii="Times New Roman" w:eastAsiaTheme="minorEastAsia" w:hAnsi="Times New Roman"/>
          <w:sz w:val="24"/>
          <w:szCs w:val="24"/>
          <w:lang w:val="en-US"/>
        </w:rPr>
        <w:t xml:space="preserve"> legal </w:t>
      </w:r>
      <w:r>
        <w:rPr>
          <w:rFonts w:ascii="Times New Roman" w:eastAsiaTheme="minorEastAsia" w:hAnsi="Times New Roman"/>
          <w:sz w:val="24"/>
          <w:szCs w:val="24"/>
          <w:lang w:val="en-US"/>
        </w:rPr>
        <w:t>regulations</w:t>
      </w:r>
      <w:r w:rsidRPr="00B17E9A">
        <w:rPr>
          <w:rFonts w:ascii="Times New Roman" w:eastAsiaTheme="minorEastAsia" w:hAnsi="Times New Roman"/>
          <w:sz w:val="24"/>
          <w:szCs w:val="24"/>
          <w:lang w:val="en-US"/>
        </w:rPr>
        <w:t xml:space="preserve"> resulted from problems </w:t>
      </w:r>
      <w:r>
        <w:rPr>
          <w:rFonts w:ascii="Times New Roman" w:eastAsiaTheme="minorEastAsia" w:hAnsi="Times New Roman"/>
          <w:sz w:val="24"/>
          <w:szCs w:val="24"/>
          <w:lang w:val="en-US"/>
        </w:rPr>
        <w:t xml:space="preserve">involved </w:t>
      </w:r>
      <w:r w:rsidRPr="00B17E9A">
        <w:rPr>
          <w:rFonts w:ascii="Times New Roman" w:eastAsiaTheme="minorEastAsia" w:hAnsi="Times New Roman"/>
          <w:sz w:val="24"/>
          <w:szCs w:val="24"/>
          <w:lang w:val="en-US"/>
        </w:rPr>
        <w:t xml:space="preserve">in </w:t>
      </w:r>
      <w:r>
        <w:rPr>
          <w:rFonts w:ascii="Times New Roman" w:eastAsiaTheme="minorEastAsia" w:hAnsi="Times New Roman"/>
          <w:sz w:val="24"/>
          <w:szCs w:val="24"/>
          <w:lang w:val="en-US"/>
        </w:rPr>
        <w:t xml:space="preserve">their </w:t>
      </w:r>
      <w:r w:rsidRPr="00B17E9A">
        <w:rPr>
          <w:rFonts w:ascii="Times New Roman" w:eastAsiaTheme="minorEastAsia" w:hAnsi="Times New Roman"/>
          <w:sz w:val="24"/>
          <w:szCs w:val="24"/>
          <w:lang w:val="en-US"/>
        </w:rPr>
        <w:t>implementation</w:t>
      </w:r>
      <w:r>
        <w:rPr>
          <w:rFonts w:ascii="Times New Roman" w:eastAsiaTheme="minorEastAsia" w:hAnsi="Times New Roman"/>
          <w:sz w:val="24"/>
          <w:szCs w:val="24"/>
          <w:lang w:val="en-US"/>
        </w:rPr>
        <w:t>, which in turn</w:t>
      </w:r>
      <w:r w:rsidRPr="00B17E9A">
        <w:rPr>
          <w:rFonts w:ascii="Times New Roman" w:eastAsiaTheme="minorEastAsia" w:hAnsi="Times New Roman"/>
          <w:sz w:val="24"/>
          <w:szCs w:val="24"/>
          <w:lang w:val="en-US"/>
        </w:rPr>
        <w:t xml:space="preserve"> stemmed from the </w:t>
      </w:r>
      <w:r>
        <w:rPr>
          <w:rFonts w:ascii="Times New Roman" w:eastAsiaTheme="minorEastAsia" w:hAnsi="Times New Roman"/>
          <w:sz w:val="24"/>
          <w:szCs w:val="24"/>
          <w:lang w:val="en-US"/>
        </w:rPr>
        <w:t>insufficiency</w:t>
      </w:r>
      <w:r w:rsidRPr="00B17E9A">
        <w:rPr>
          <w:rFonts w:ascii="Times New Roman" w:eastAsiaTheme="minorEastAsia" w:hAnsi="Times New Roman"/>
          <w:sz w:val="24"/>
          <w:szCs w:val="24"/>
          <w:lang w:val="en-US"/>
        </w:rPr>
        <w:t xml:space="preserve"> of political will and commitment to address the issue. Furthermore, the report exposed the social policies, starting out with the constitutional amendment in 2010 which identified women as a vulnerable group alongside children, the elderly and the disabled, restrict</w:t>
      </w:r>
      <w:r>
        <w:rPr>
          <w:rFonts w:ascii="Times New Roman" w:eastAsiaTheme="minorEastAsia" w:hAnsi="Times New Roman"/>
          <w:sz w:val="24"/>
          <w:szCs w:val="24"/>
          <w:lang w:val="en-US"/>
        </w:rPr>
        <w:t>ing</w:t>
      </w:r>
      <w:r w:rsidRPr="00B17E9A">
        <w:rPr>
          <w:rFonts w:ascii="Times New Roman" w:eastAsiaTheme="minorEastAsia" w:hAnsi="Times New Roman"/>
          <w:sz w:val="24"/>
          <w:szCs w:val="24"/>
          <w:lang w:val="en-US"/>
        </w:rPr>
        <w:t xml:space="preserve"> women’s participation in public life, confin</w:t>
      </w:r>
      <w:r>
        <w:rPr>
          <w:rFonts w:ascii="Times New Roman" w:eastAsiaTheme="minorEastAsia" w:hAnsi="Times New Roman"/>
          <w:sz w:val="24"/>
          <w:szCs w:val="24"/>
          <w:lang w:val="en-US"/>
        </w:rPr>
        <w:t>ing</w:t>
      </w:r>
      <w:r w:rsidRPr="00B17E9A">
        <w:rPr>
          <w:rFonts w:ascii="Times New Roman" w:eastAsiaTheme="minorEastAsia" w:hAnsi="Times New Roman"/>
          <w:sz w:val="24"/>
          <w:szCs w:val="24"/>
          <w:lang w:val="en-US"/>
        </w:rPr>
        <w:t xml:space="preserve"> them to traditional </w:t>
      </w:r>
      <w:r>
        <w:rPr>
          <w:rFonts w:ascii="Times New Roman" w:eastAsiaTheme="minorEastAsia" w:hAnsi="Times New Roman"/>
          <w:sz w:val="24"/>
          <w:szCs w:val="24"/>
          <w:lang w:val="en-US"/>
        </w:rPr>
        <w:t>family</w:t>
      </w:r>
      <w:r w:rsidRPr="00B17E9A">
        <w:rPr>
          <w:rFonts w:ascii="Times New Roman" w:eastAsiaTheme="minorEastAsia" w:hAnsi="Times New Roman"/>
          <w:sz w:val="24"/>
          <w:szCs w:val="24"/>
          <w:lang w:val="en-US"/>
        </w:rPr>
        <w:t xml:space="preserve"> roles and care responsibilities, </w:t>
      </w:r>
      <w:r>
        <w:rPr>
          <w:rFonts w:ascii="Times New Roman" w:eastAsiaTheme="minorEastAsia" w:hAnsi="Times New Roman"/>
          <w:sz w:val="24"/>
          <w:szCs w:val="24"/>
          <w:lang w:val="en-US"/>
        </w:rPr>
        <w:t xml:space="preserve">and </w:t>
      </w:r>
      <w:r w:rsidRPr="00B17E9A">
        <w:rPr>
          <w:rFonts w:ascii="Times New Roman" w:eastAsiaTheme="minorEastAsia" w:hAnsi="Times New Roman"/>
          <w:sz w:val="24"/>
          <w:szCs w:val="24"/>
          <w:lang w:val="en-US"/>
        </w:rPr>
        <w:t xml:space="preserve">envisioning and enacting policies to increase social welfare via confining women to the familial </w:t>
      </w:r>
      <w:r>
        <w:rPr>
          <w:rFonts w:ascii="Times New Roman" w:eastAsiaTheme="minorEastAsia" w:hAnsi="Times New Roman"/>
          <w:sz w:val="24"/>
          <w:szCs w:val="24"/>
          <w:lang w:val="en-US"/>
        </w:rPr>
        <w:t>and domestic sphere.</w:t>
      </w:r>
    </w:p>
    <w:p w:rsidR="002B70B1" w:rsidRPr="00B17E9A" w:rsidRDefault="002B70B1" w:rsidP="002B70B1">
      <w:pPr>
        <w:shd w:val="clear" w:color="auto" w:fill="FFFFFF" w:themeFill="background1"/>
        <w:spacing w:after="0"/>
        <w:jc w:val="both"/>
        <w:rPr>
          <w:rFonts w:ascii="Times New Roman" w:eastAsiaTheme="minorEastAsia" w:hAnsi="Times New Roman"/>
          <w:sz w:val="24"/>
          <w:szCs w:val="24"/>
          <w:lang w:val="en-US"/>
        </w:rPr>
      </w:pPr>
    </w:p>
    <w:p w:rsidR="002B70B1" w:rsidRPr="00B17E9A" w:rsidRDefault="002B70B1" w:rsidP="002B70B1">
      <w:pPr>
        <w:shd w:val="clear" w:color="auto" w:fill="FFFFFF" w:themeFill="background1"/>
        <w:spacing w:after="0"/>
        <w:jc w:val="both"/>
        <w:rPr>
          <w:rFonts w:ascii="Times New Roman" w:eastAsiaTheme="minorEastAsia" w:hAnsi="Times New Roman"/>
          <w:sz w:val="24"/>
          <w:szCs w:val="24"/>
          <w:lang w:val="en-US"/>
        </w:rPr>
      </w:pPr>
      <w:r w:rsidRPr="00B17E9A">
        <w:rPr>
          <w:rFonts w:ascii="Times New Roman" w:eastAsiaTheme="minorEastAsia" w:hAnsi="Times New Roman"/>
          <w:sz w:val="24"/>
          <w:szCs w:val="24"/>
          <w:lang w:val="en-US"/>
        </w:rPr>
        <w:t>In the two years elapsed since the 2010 shadow report</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 our criticism of the government and its policies have crystallized. Therefore, we have to reiterate the same concerns and criticism</w:t>
      </w:r>
      <w:r>
        <w:rPr>
          <w:rFonts w:ascii="Times New Roman" w:eastAsiaTheme="minorEastAsia" w:hAnsi="Times New Roman"/>
          <w:sz w:val="24"/>
          <w:szCs w:val="24"/>
          <w:lang w:val="en-US"/>
        </w:rPr>
        <w:t>s</w:t>
      </w:r>
      <w:r w:rsidRPr="00B17E9A">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The exemplar</w:t>
      </w:r>
      <w:r w:rsidRPr="00B17E9A">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of</w:t>
      </w:r>
      <w:r w:rsidRPr="00B17E9A">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such crystallization was</w:t>
      </w:r>
      <w:r w:rsidRPr="00B17E9A">
        <w:rPr>
          <w:rFonts w:ascii="Times New Roman" w:eastAsiaTheme="minorEastAsia" w:hAnsi="Times New Roman"/>
          <w:sz w:val="24"/>
          <w:szCs w:val="24"/>
          <w:lang w:val="en-US"/>
        </w:rPr>
        <w:t xml:space="preserve"> the changing of the name of the Women’s Ministry to the Ministry of Family and Social </w:t>
      </w:r>
      <w:r>
        <w:rPr>
          <w:rFonts w:ascii="Times New Roman" w:eastAsiaTheme="minorEastAsia" w:hAnsi="Times New Roman"/>
          <w:sz w:val="24"/>
          <w:szCs w:val="24"/>
          <w:lang w:val="en-US"/>
        </w:rPr>
        <w:t>Policies, as women are no longer even named in the discussion</w:t>
      </w:r>
      <w:r w:rsidRPr="00B17E9A">
        <w:rPr>
          <w:rFonts w:ascii="Times New Roman" w:eastAsiaTheme="minorEastAsia" w:hAnsi="Times New Roman"/>
          <w:sz w:val="24"/>
          <w:szCs w:val="24"/>
          <w:lang w:val="en-US"/>
        </w:rPr>
        <w:t>. Furthermore, many of the concurrent changes affecting women’s social status have resulted in alarming backlashes as opposed to advancements in women’s rights. For example</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 the reforms in the education system have pulled the age of starting primary school down to 5, allowing students to continue schooling at religious schools after the first four years and making the last four years of the 12 year compulsory schooling discontinuous. While women’s organizations demand for 12 years of mandatory and uninterrupted education remains unmet, this education policy threatens to increase discrimination against girl children, decrease girls schooling rates, direct</w:t>
      </w:r>
      <w:r>
        <w:rPr>
          <w:rFonts w:ascii="Times New Roman" w:eastAsiaTheme="minorEastAsia" w:hAnsi="Times New Roman"/>
          <w:sz w:val="24"/>
          <w:szCs w:val="24"/>
          <w:lang w:val="en-US"/>
        </w:rPr>
        <w:t>s</w:t>
      </w:r>
      <w:r w:rsidRPr="00B17E9A">
        <w:rPr>
          <w:rFonts w:ascii="Times New Roman" w:eastAsiaTheme="minorEastAsia" w:hAnsi="Times New Roman"/>
          <w:sz w:val="24"/>
          <w:szCs w:val="24"/>
          <w:lang w:val="en-US"/>
        </w:rPr>
        <w:t xml:space="preserve"> girl children to only religious education</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 and/or cause</w:t>
      </w:r>
      <w:r>
        <w:rPr>
          <w:rFonts w:ascii="Times New Roman" w:eastAsiaTheme="minorEastAsia" w:hAnsi="Times New Roman"/>
          <w:sz w:val="24"/>
          <w:szCs w:val="24"/>
          <w:lang w:val="en-US"/>
        </w:rPr>
        <w:t>s</w:t>
      </w:r>
      <w:r w:rsidRPr="00B17E9A">
        <w:rPr>
          <w:rFonts w:ascii="Times New Roman" w:eastAsiaTheme="minorEastAsia" w:hAnsi="Times New Roman"/>
          <w:sz w:val="24"/>
          <w:szCs w:val="24"/>
          <w:lang w:val="en-US"/>
        </w:rPr>
        <w:t xml:space="preserve"> girl children to be homeschooled</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 xml:space="preserve"> thus indirectly result</w:t>
      </w:r>
      <w:r>
        <w:rPr>
          <w:rFonts w:ascii="Times New Roman" w:eastAsiaTheme="minorEastAsia" w:hAnsi="Times New Roman"/>
          <w:sz w:val="24"/>
          <w:szCs w:val="24"/>
          <w:lang w:val="en-US"/>
        </w:rPr>
        <w:t>ing</w:t>
      </w:r>
      <w:r w:rsidRPr="00B17E9A">
        <w:rPr>
          <w:rFonts w:ascii="Times New Roman" w:eastAsiaTheme="minorEastAsia" w:hAnsi="Times New Roman"/>
          <w:sz w:val="24"/>
          <w:szCs w:val="24"/>
          <w:lang w:val="en-US"/>
        </w:rPr>
        <w:t xml:space="preserve"> in the establishment of a public order structured around </w:t>
      </w:r>
      <w:r>
        <w:rPr>
          <w:rFonts w:ascii="Times New Roman" w:eastAsiaTheme="minorEastAsia" w:hAnsi="Times New Roman"/>
          <w:sz w:val="24"/>
          <w:szCs w:val="24"/>
          <w:lang w:val="en-US"/>
        </w:rPr>
        <w:t xml:space="preserve">gender segregation, and </w:t>
      </w:r>
      <w:r w:rsidRPr="00B17E9A">
        <w:rPr>
          <w:rFonts w:ascii="Times New Roman" w:eastAsiaTheme="minorEastAsia" w:hAnsi="Times New Roman"/>
          <w:sz w:val="24"/>
          <w:szCs w:val="24"/>
          <w:lang w:val="en-US"/>
        </w:rPr>
        <w:t>gender</w:t>
      </w:r>
      <w:r>
        <w:rPr>
          <w:rFonts w:ascii="Times New Roman" w:eastAsiaTheme="minorEastAsia" w:hAnsi="Times New Roman"/>
          <w:sz w:val="24"/>
          <w:szCs w:val="24"/>
          <w:lang w:val="en-US"/>
        </w:rPr>
        <w:t>-</w:t>
      </w:r>
      <w:r w:rsidRPr="00B17E9A">
        <w:rPr>
          <w:rFonts w:ascii="Times New Roman" w:eastAsiaTheme="minorEastAsia" w:hAnsi="Times New Roman"/>
          <w:sz w:val="24"/>
          <w:szCs w:val="24"/>
          <w:lang w:val="en-US"/>
        </w:rPr>
        <w:t>based discrimination</w:t>
      </w:r>
      <w:r>
        <w:rPr>
          <w:rFonts w:ascii="Times New Roman" w:eastAsiaTheme="minorEastAsia" w:hAnsi="Times New Roman"/>
          <w:sz w:val="24"/>
          <w:szCs w:val="24"/>
          <w:lang w:val="en-US"/>
        </w:rPr>
        <w:t xml:space="preserve"> thereof</w:t>
      </w:r>
      <w:r w:rsidRPr="00B17E9A">
        <w:rPr>
          <w:rFonts w:ascii="Times New Roman" w:eastAsiaTheme="minorEastAsia" w:hAnsi="Times New Roman"/>
          <w:sz w:val="24"/>
          <w:szCs w:val="24"/>
          <w:lang w:val="en-US"/>
        </w:rPr>
        <w:t xml:space="preserve">. </w:t>
      </w:r>
    </w:p>
    <w:p w:rsidR="002B70B1" w:rsidRDefault="002B70B1" w:rsidP="002B70B1">
      <w:pPr>
        <w:shd w:val="clear" w:color="auto" w:fill="FFFFFF"/>
        <w:spacing w:after="0"/>
        <w:jc w:val="both"/>
        <w:rPr>
          <w:rFonts w:ascii="Times New Roman" w:hAnsi="Times New Roman"/>
          <w:sz w:val="24"/>
          <w:szCs w:val="24"/>
          <w:lang w:val="en-US"/>
        </w:rPr>
      </w:pPr>
      <w:r w:rsidRPr="00B17E9A">
        <w:rPr>
          <w:rFonts w:ascii="Times New Roman" w:hAnsi="Times New Roman"/>
          <w:sz w:val="24"/>
          <w:szCs w:val="24"/>
          <w:lang w:val="en-US"/>
        </w:rPr>
        <w:lastRenderedPageBreak/>
        <w:t xml:space="preserve">Furthermore, </w:t>
      </w:r>
      <w:r>
        <w:rPr>
          <w:rFonts w:ascii="Times New Roman" w:hAnsi="Times New Roman"/>
          <w:sz w:val="24"/>
          <w:szCs w:val="24"/>
          <w:lang w:val="en-US"/>
        </w:rPr>
        <w:t>with</w:t>
      </w:r>
      <w:r w:rsidRPr="00B17E9A">
        <w:rPr>
          <w:rFonts w:ascii="Times New Roman" w:hAnsi="Times New Roman"/>
          <w:sz w:val="24"/>
          <w:szCs w:val="24"/>
          <w:lang w:val="en-US"/>
        </w:rPr>
        <w:t>in the context</w:t>
      </w:r>
      <w:r>
        <w:rPr>
          <w:rFonts w:ascii="Times New Roman" w:hAnsi="Times New Roman"/>
          <w:sz w:val="24"/>
          <w:szCs w:val="24"/>
          <w:lang w:val="en-US"/>
        </w:rPr>
        <w:t>s</w:t>
      </w:r>
      <w:r w:rsidRPr="00B17E9A">
        <w:rPr>
          <w:rFonts w:ascii="Times New Roman" w:hAnsi="Times New Roman"/>
          <w:sz w:val="24"/>
          <w:szCs w:val="24"/>
          <w:lang w:val="en-US"/>
        </w:rPr>
        <w:t xml:space="preserve"> of increasing conservatism and the dominant patriarchal discourse, women’s hu</w:t>
      </w:r>
      <w:r>
        <w:rPr>
          <w:rFonts w:ascii="Times New Roman" w:hAnsi="Times New Roman"/>
          <w:sz w:val="24"/>
          <w:szCs w:val="24"/>
          <w:lang w:val="en-US"/>
        </w:rPr>
        <w:t xml:space="preserve">man rights are being sidelined </w:t>
      </w:r>
      <w:r w:rsidRPr="00B17E9A">
        <w:rPr>
          <w:rFonts w:ascii="Times New Roman" w:hAnsi="Times New Roman"/>
          <w:sz w:val="24"/>
          <w:szCs w:val="24"/>
          <w:lang w:val="en-US"/>
        </w:rPr>
        <w:t xml:space="preserve">and </w:t>
      </w:r>
      <w:r>
        <w:rPr>
          <w:rFonts w:ascii="Times New Roman" w:hAnsi="Times New Roman"/>
          <w:sz w:val="24"/>
          <w:szCs w:val="24"/>
          <w:lang w:val="en-US"/>
        </w:rPr>
        <w:t>contested</w:t>
      </w:r>
      <w:r w:rsidRPr="00B17E9A">
        <w:rPr>
          <w:rFonts w:ascii="Times New Roman" w:hAnsi="Times New Roman"/>
          <w:sz w:val="24"/>
          <w:szCs w:val="24"/>
          <w:lang w:val="en-US"/>
        </w:rPr>
        <w:t xml:space="preserve"> on the basis of religious values rather than being promoted as </w:t>
      </w:r>
      <w:r>
        <w:rPr>
          <w:rFonts w:ascii="Times New Roman" w:hAnsi="Times New Roman"/>
          <w:sz w:val="24"/>
          <w:szCs w:val="24"/>
          <w:lang w:val="en-US"/>
        </w:rPr>
        <w:t>i</w:t>
      </w:r>
      <w:r w:rsidRPr="00B17E9A">
        <w:rPr>
          <w:rFonts w:ascii="Times New Roman" w:hAnsi="Times New Roman"/>
          <w:sz w:val="24"/>
          <w:szCs w:val="24"/>
          <w:lang w:val="en-US"/>
        </w:rPr>
        <w:t xml:space="preserve">nalienable rights. It is possible to enumerate many examples of this phenomenon. However, the most crystallized debate </w:t>
      </w:r>
      <w:r>
        <w:rPr>
          <w:rFonts w:ascii="Times New Roman" w:hAnsi="Times New Roman"/>
          <w:sz w:val="24"/>
          <w:szCs w:val="24"/>
          <w:lang w:val="en-US"/>
        </w:rPr>
        <w:t xml:space="preserve">in this connection </w:t>
      </w:r>
      <w:r w:rsidRPr="00B17E9A">
        <w:rPr>
          <w:rFonts w:ascii="Times New Roman" w:hAnsi="Times New Roman"/>
          <w:sz w:val="24"/>
          <w:szCs w:val="24"/>
          <w:lang w:val="en-US"/>
        </w:rPr>
        <w:t>took place</w:t>
      </w:r>
      <w:r>
        <w:rPr>
          <w:rFonts w:ascii="Times New Roman" w:hAnsi="Times New Roman"/>
          <w:sz w:val="24"/>
          <w:szCs w:val="24"/>
          <w:lang w:val="en-US"/>
        </w:rPr>
        <w:t xml:space="preserve"> with the government’s</w:t>
      </w:r>
      <w:r w:rsidRPr="00B17E9A">
        <w:rPr>
          <w:rFonts w:ascii="Times New Roman" w:hAnsi="Times New Roman"/>
          <w:sz w:val="24"/>
          <w:szCs w:val="24"/>
          <w:lang w:val="en-US"/>
        </w:rPr>
        <w:t xml:space="preserve"> attempt</w:t>
      </w:r>
      <w:r>
        <w:rPr>
          <w:rFonts w:ascii="Times New Roman" w:hAnsi="Times New Roman"/>
          <w:sz w:val="24"/>
          <w:szCs w:val="24"/>
          <w:lang w:val="en-US"/>
        </w:rPr>
        <w:t xml:space="preserve"> </w:t>
      </w:r>
      <w:r w:rsidRPr="00B17E9A">
        <w:rPr>
          <w:rFonts w:ascii="Times New Roman" w:hAnsi="Times New Roman"/>
          <w:sz w:val="24"/>
          <w:szCs w:val="24"/>
          <w:lang w:val="en-US"/>
        </w:rPr>
        <w:t>to ban abortion</w:t>
      </w:r>
      <w:r>
        <w:rPr>
          <w:rFonts w:ascii="Times New Roman" w:hAnsi="Times New Roman"/>
          <w:sz w:val="24"/>
          <w:szCs w:val="24"/>
          <w:lang w:val="en-US"/>
        </w:rPr>
        <w:t>. Although abortion</w:t>
      </w:r>
      <w:r w:rsidRPr="00B17E9A">
        <w:rPr>
          <w:rFonts w:ascii="Times New Roman" w:hAnsi="Times New Roman"/>
          <w:sz w:val="24"/>
          <w:szCs w:val="24"/>
          <w:lang w:val="en-US"/>
        </w:rPr>
        <w:t xml:space="preserve"> has been safeguarded as a reproductive right since 1983, </w:t>
      </w:r>
      <w:r>
        <w:rPr>
          <w:rFonts w:ascii="Times New Roman" w:hAnsi="Times New Roman"/>
          <w:sz w:val="24"/>
          <w:szCs w:val="24"/>
          <w:lang w:val="en-US"/>
        </w:rPr>
        <w:t>the debate on its banning was justified</w:t>
      </w:r>
      <w:r w:rsidRPr="00B17E9A">
        <w:rPr>
          <w:rFonts w:ascii="Times New Roman" w:hAnsi="Times New Roman"/>
          <w:sz w:val="24"/>
          <w:szCs w:val="24"/>
          <w:lang w:val="en-US"/>
        </w:rPr>
        <w:t xml:space="preserve"> </w:t>
      </w:r>
      <w:r>
        <w:rPr>
          <w:rFonts w:ascii="Times New Roman" w:hAnsi="Times New Roman"/>
          <w:sz w:val="24"/>
          <w:szCs w:val="24"/>
          <w:lang w:val="en-US"/>
        </w:rPr>
        <w:t xml:space="preserve">on the basis of male dominant </w:t>
      </w:r>
      <w:r w:rsidRPr="00B17E9A">
        <w:rPr>
          <w:rFonts w:ascii="Times New Roman" w:hAnsi="Times New Roman"/>
          <w:sz w:val="24"/>
          <w:szCs w:val="24"/>
          <w:lang w:val="en-US"/>
        </w:rPr>
        <w:t>religious values.</w:t>
      </w:r>
    </w:p>
    <w:p w:rsidR="002B70B1" w:rsidRPr="00B17E9A" w:rsidRDefault="002B70B1" w:rsidP="002B70B1">
      <w:pPr>
        <w:shd w:val="clear" w:color="auto" w:fill="FFFFFF"/>
        <w:spacing w:after="0"/>
        <w:jc w:val="both"/>
        <w:rPr>
          <w:rFonts w:ascii="Times New Roman" w:hAnsi="Times New Roman"/>
          <w:sz w:val="24"/>
          <w:szCs w:val="24"/>
          <w:lang w:val="en-US"/>
        </w:rPr>
      </w:pPr>
    </w:p>
    <w:p w:rsidR="002B70B1" w:rsidRDefault="002B70B1" w:rsidP="002B70B1">
      <w:p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T</w:t>
      </w:r>
      <w:r w:rsidRPr="00B17E9A">
        <w:rPr>
          <w:rFonts w:ascii="Times New Roman" w:hAnsi="Times New Roman"/>
          <w:sz w:val="24"/>
          <w:szCs w:val="24"/>
          <w:lang w:val="en-US"/>
        </w:rPr>
        <w:t>he prime minister</w:t>
      </w:r>
      <w:r>
        <w:rPr>
          <w:rFonts w:ascii="Times New Roman" w:hAnsi="Times New Roman"/>
          <w:sz w:val="24"/>
          <w:szCs w:val="24"/>
          <w:lang w:val="en-US"/>
        </w:rPr>
        <w:t>, who</w:t>
      </w:r>
      <w:r w:rsidRPr="00B17E9A">
        <w:rPr>
          <w:rFonts w:ascii="Times New Roman" w:hAnsi="Times New Roman"/>
          <w:sz w:val="24"/>
          <w:szCs w:val="24"/>
          <w:lang w:val="en-US"/>
        </w:rPr>
        <w:t xml:space="preserve"> </w:t>
      </w:r>
      <w:r>
        <w:rPr>
          <w:rFonts w:ascii="Times New Roman" w:hAnsi="Times New Roman"/>
          <w:sz w:val="24"/>
          <w:szCs w:val="24"/>
          <w:lang w:val="en-US"/>
        </w:rPr>
        <w:t>stated</w:t>
      </w:r>
      <w:r w:rsidRPr="00B17E9A">
        <w:rPr>
          <w:rFonts w:ascii="Times New Roman" w:hAnsi="Times New Roman"/>
          <w:sz w:val="24"/>
          <w:szCs w:val="24"/>
          <w:lang w:val="en-US"/>
        </w:rPr>
        <w:t xml:space="preserve"> </w:t>
      </w:r>
      <w:r>
        <w:rPr>
          <w:rFonts w:ascii="Times New Roman" w:hAnsi="Times New Roman"/>
          <w:sz w:val="24"/>
          <w:szCs w:val="24"/>
          <w:lang w:val="en-US"/>
        </w:rPr>
        <w:t>that women and men we</w:t>
      </w:r>
      <w:r w:rsidRPr="00B17E9A">
        <w:rPr>
          <w:rFonts w:ascii="Times New Roman" w:hAnsi="Times New Roman"/>
          <w:sz w:val="24"/>
          <w:szCs w:val="24"/>
          <w:lang w:val="en-US"/>
        </w:rPr>
        <w:t>re not equal</w:t>
      </w:r>
      <w:r>
        <w:rPr>
          <w:rFonts w:ascii="Times New Roman" w:hAnsi="Times New Roman"/>
          <w:sz w:val="24"/>
          <w:szCs w:val="24"/>
          <w:lang w:val="en-US"/>
        </w:rPr>
        <w:t xml:space="preserve"> at </w:t>
      </w:r>
      <w:r w:rsidRPr="00B17E9A">
        <w:rPr>
          <w:rFonts w:ascii="Times New Roman" w:hAnsi="Times New Roman"/>
          <w:sz w:val="24"/>
          <w:szCs w:val="24"/>
          <w:lang w:val="en-US"/>
        </w:rPr>
        <w:t>a meeting with women’s organizations</w:t>
      </w:r>
      <w:r>
        <w:rPr>
          <w:rFonts w:ascii="Times New Roman" w:hAnsi="Times New Roman"/>
          <w:sz w:val="24"/>
          <w:szCs w:val="24"/>
          <w:lang w:val="en-US"/>
        </w:rPr>
        <w:t xml:space="preserve"> on the same day when</w:t>
      </w:r>
      <w:r w:rsidRPr="00B17E9A">
        <w:rPr>
          <w:rFonts w:ascii="Times New Roman" w:hAnsi="Times New Roman"/>
          <w:sz w:val="24"/>
          <w:szCs w:val="24"/>
          <w:lang w:val="en-US"/>
        </w:rPr>
        <w:t xml:space="preserve"> Turkey was under review by the CEDAW Committee at the UN Headquarters</w:t>
      </w:r>
      <w:r>
        <w:rPr>
          <w:rFonts w:ascii="Times New Roman" w:hAnsi="Times New Roman"/>
          <w:sz w:val="24"/>
          <w:szCs w:val="24"/>
          <w:lang w:val="en-US"/>
        </w:rPr>
        <w:t xml:space="preserve"> </w:t>
      </w:r>
      <w:r w:rsidRPr="00B17E9A">
        <w:rPr>
          <w:rFonts w:ascii="Times New Roman" w:hAnsi="Times New Roman"/>
          <w:sz w:val="24"/>
          <w:szCs w:val="24"/>
          <w:lang w:val="en-US"/>
        </w:rPr>
        <w:t xml:space="preserve">in </w:t>
      </w:r>
      <w:r w:rsidR="008A5D0B">
        <w:rPr>
          <w:rFonts w:ascii="Times New Roman" w:hAnsi="Times New Roman"/>
          <w:sz w:val="24"/>
          <w:szCs w:val="24"/>
          <w:lang w:val="en-US"/>
        </w:rPr>
        <w:t xml:space="preserve">July </w:t>
      </w:r>
      <w:r w:rsidRPr="00B17E9A">
        <w:rPr>
          <w:rFonts w:ascii="Times New Roman" w:hAnsi="Times New Roman"/>
          <w:sz w:val="24"/>
          <w:szCs w:val="24"/>
          <w:lang w:val="en-US"/>
        </w:rPr>
        <w:t>2010</w:t>
      </w:r>
      <w:r>
        <w:rPr>
          <w:rFonts w:ascii="Times New Roman" w:hAnsi="Times New Roman"/>
          <w:sz w:val="24"/>
          <w:szCs w:val="24"/>
          <w:lang w:val="en-US"/>
        </w:rPr>
        <w:t xml:space="preserve">, </w:t>
      </w:r>
      <w:r w:rsidRPr="00B17E9A">
        <w:rPr>
          <w:rFonts w:ascii="Times New Roman" w:hAnsi="Times New Roman"/>
          <w:sz w:val="24"/>
          <w:szCs w:val="24"/>
          <w:lang w:val="en-US"/>
        </w:rPr>
        <w:t xml:space="preserve">has claimed at the 2012 International Population and Development Conference organized by the UNFPA and </w:t>
      </w:r>
      <w:r>
        <w:rPr>
          <w:rFonts w:ascii="Times New Roman" w:hAnsi="Times New Roman"/>
          <w:sz w:val="24"/>
          <w:szCs w:val="24"/>
          <w:lang w:val="en-US"/>
        </w:rPr>
        <w:t xml:space="preserve">the </w:t>
      </w:r>
      <w:r w:rsidRPr="00B17E9A">
        <w:rPr>
          <w:rFonts w:ascii="Times New Roman" w:hAnsi="Times New Roman"/>
          <w:sz w:val="24"/>
          <w:szCs w:val="24"/>
          <w:lang w:val="en-US"/>
        </w:rPr>
        <w:t xml:space="preserve">European Parliamentarians Forum that abortion </w:t>
      </w:r>
      <w:r>
        <w:rPr>
          <w:rFonts w:ascii="Times New Roman" w:hAnsi="Times New Roman"/>
          <w:sz w:val="24"/>
          <w:szCs w:val="24"/>
          <w:lang w:val="en-US"/>
        </w:rPr>
        <w:t>wa</w:t>
      </w:r>
      <w:r w:rsidRPr="00B17E9A">
        <w:rPr>
          <w:rFonts w:ascii="Times New Roman" w:hAnsi="Times New Roman"/>
          <w:sz w:val="24"/>
          <w:szCs w:val="24"/>
          <w:lang w:val="en-US"/>
        </w:rPr>
        <w:t xml:space="preserve">s murder. Women’s rights advocates who have taken a stance in this </w:t>
      </w:r>
      <w:r>
        <w:rPr>
          <w:rFonts w:ascii="Times New Roman" w:hAnsi="Times New Roman"/>
          <w:sz w:val="24"/>
          <w:szCs w:val="24"/>
          <w:lang w:val="en-US"/>
        </w:rPr>
        <w:t xml:space="preserve">abortion </w:t>
      </w:r>
      <w:r w:rsidRPr="00B17E9A">
        <w:rPr>
          <w:rFonts w:ascii="Times New Roman" w:hAnsi="Times New Roman"/>
          <w:sz w:val="24"/>
          <w:szCs w:val="24"/>
          <w:lang w:val="en-US"/>
        </w:rPr>
        <w:t>debate have been declared murder advocates. While the process for changing the abortion law</w:t>
      </w:r>
      <w:r>
        <w:rPr>
          <w:rFonts w:ascii="Times New Roman" w:hAnsi="Times New Roman"/>
          <w:sz w:val="24"/>
          <w:szCs w:val="24"/>
          <w:lang w:val="en-US"/>
        </w:rPr>
        <w:t>s</w:t>
      </w:r>
      <w:r w:rsidRPr="00B17E9A">
        <w:rPr>
          <w:rFonts w:ascii="Times New Roman" w:hAnsi="Times New Roman"/>
          <w:sz w:val="24"/>
          <w:szCs w:val="24"/>
          <w:lang w:val="en-US"/>
        </w:rPr>
        <w:t xml:space="preserve"> remains scheduled for </w:t>
      </w:r>
      <w:r>
        <w:rPr>
          <w:rFonts w:ascii="Times New Roman" w:hAnsi="Times New Roman"/>
          <w:sz w:val="24"/>
          <w:szCs w:val="24"/>
          <w:lang w:val="en-US"/>
        </w:rPr>
        <w:t xml:space="preserve">the </w:t>
      </w:r>
      <w:r w:rsidRPr="00B17E9A">
        <w:rPr>
          <w:rFonts w:ascii="Times New Roman" w:hAnsi="Times New Roman"/>
          <w:sz w:val="24"/>
          <w:szCs w:val="24"/>
          <w:lang w:val="en-US"/>
        </w:rPr>
        <w:t xml:space="preserve">fall when parliament </w:t>
      </w:r>
      <w:r>
        <w:rPr>
          <w:rFonts w:ascii="Times New Roman" w:hAnsi="Times New Roman"/>
          <w:sz w:val="24"/>
          <w:szCs w:val="24"/>
          <w:lang w:val="en-US"/>
        </w:rPr>
        <w:t>resumes</w:t>
      </w:r>
      <w:r w:rsidRPr="00B17E9A">
        <w:rPr>
          <w:rFonts w:ascii="Times New Roman" w:hAnsi="Times New Roman"/>
          <w:sz w:val="24"/>
          <w:szCs w:val="24"/>
          <w:lang w:val="en-US"/>
        </w:rPr>
        <w:t>, the overall backlash regarding women’s rights and the tendency to shift the women’s human rights paradigm from a human rights axis to a traditional religious values framework and a conservative patriarchal family and social order axis is alarming.</w:t>
      </w:r>
      <w:r w:rsidRPr="00B17E9A">
        <w:rPr>
          <w:rStyle w:val="DipnotBavurusu"/>
          <w:rFonts w:ascii="Times New Roman" w:hAnsi="Times New Roman"/>
          <w:sz w:val="24"/>
          <w:szCs w:val="24"/>
          <w:lang w:val="en-US"/>
        </w:rPr>
        <w:footnoteReference w:id="4"/>
      </w:r>
    </w:p>
    <w:p w:rsidR="002B70B1" w:rsidRPr="00B17E9A" w:rsidRDefault="002B70B1" w:rsidP="002B70B1">
      <w:pPr>
        <w:shd w:val="clear" w:color="auto" w:fill="FFFFFF"/>
        <w:spacing w:after="0"/>
        <w:jc w:val="both"/>
        <w:rPr>
          <w:rFonts w:ascii="Times New Roman" w:hAnsi="Times New Roman"/>
          <w:sz w:val="24"/>
          <w:szCs w:val="24"/>
          <w:lang w:val="en-US"/>
        </w:rPr>
      </w:pPr>
    </w:p>
    <w:p w:rsidR="002B70B1" w:rsidRPr="00B17E9A" w:rsidRDefault="002B70B1" w:rsidP="002B70B1">
      <w:pPr>
        <w:shd w:val="clear" w:color="auto" w:fill="FFFFFF"/>
        <w:spacing w:after="0"/>
        <w:jc w:val="both"/>
        <w:rPr>
          <w:rFonts w:ascii="Times New Roman" w:hAnsi="Times New Roman"/>
          <w:sz w:val="24"/>
          <w:szCs w:val="24"/>
          <w:lang w:val="en-US"/>
        </w:rPr>
      </w:pPr>
      <w:r w:rsidRPr="00B17E9A">
        <w:rPr>
          <w:rFonts w:ascii="Times New Roman" w:hAnsi="Times New Roman"/>
          <w:sz w:val="24"/>
          <w:szCs w:val="24"/>
          <w:lang w:val="en-US"/>
        </w:rPr>
        <w:t xml:space="preserve">Another visible outcome of the increasing conservatism is the state’s increasingly blatant attempt to intervene with women’s right to make decisions regarding their own bodies. Since the prime minister asked women to bear at least 3 children in his speech on </w:t>
      </w:r>
      <w:r>
        <w:rPr>
          <w:rFonts w:ascii="Times New Roman" w:hAnsi="Times New Roman"/>
          <w:sz w:val="24"/>
          <w:szCs w:val="24"/>
          <w:lang w:val="en-US"/>
        </w:rPr>
        <w:t>International Women’s D</w:t>
      </w:r>
      <w:r w:rsidRPr="00B17E9A">
        <w:rPr>
          <w:rFonts w:ascii="Times New Roman" w:hAnsi="Times New Roman"/>
          <w:sz w:val="24"/>
          <w:szCs w:val="24"/>
          <w:lang w:val="en-US"/>
        </w:rPr>
        <w:t xml:space="preserve">ay in 2008, the government </w:t>
      </w:r>
      <w:r>
        <w:rPr>
          <w:rFonts w:ascii="Times New Roman" w:hAnsi="Times New Roman"/>
          <w:sz w:val="24"/>
          <w:szCs w:val="24"/>
          <w:lang w:val="en-US"/>
        </w:rPr>
        <w:t>has been</w:t>
      </w:r>
      <w:r w:rsidRPr="00B17E9A">
        <w:rPr>
          <w:rFonts w:ascii="Times New Roman" w:hAnsi="Times New Roman"/>
          <w:sz w:val="24"/>
          <w:szCs w:val="24"/>
          <w:lang w:val="en-US"/>
        </w:rPr>
        <w:t xml:space="preserve"> propagating </w:t>
      </w:r>
      <w:r>
        <w:rPr>
          <w:rFonts w:ascii="Times New Roman" w:hAnsi="Times New Roman"/>
          <w:sz w:val="24"/>
          <w:szCs w:val="24"/>
          <w:lang w:val="en-US"/>
        </w:rPr>
        <w:t xml:space="preserve">that </w:t>
      </w:r>
      <w:r w:rsidRPr="00B17E9A">
        <w:rPr>
          <w:rFonts w:ascii="Times New Roman" w:hAnsi="Times New Roman"/>
          <w:sz w:val="24"/>
          <w:szCs w:val="24"/>
          <w:lang w:val="en-US"/>
        </w:rPr>
        <w:t xml:space="preserve">women should have more children. </w:t>
      </w:r>
      <w:r>
        <w:rPr>
          <w:rFonts w:ascii="Times New Roman" w:hAnsi="Times New Roman"/>
          <w:sz w:val="24"/>
          <w:szCs w:val="24"/>
          <w:lang w:val="en-US"/>
        </w:rPr>
        <w:t>Furthermore</w:t>
      </w:r>
      <w:r w:rsidRPr="00B17E9A">
        <w:rPr>
          <w:rFonts w:ascii="Times New Roman" w:hAnsi="Times New Roman"/>
          <w:sz w:val="24"/>
          <w:szCs w:val="24"/>
          <w:lang w:val="en-US"/>
        </w:rPr>
        <w:t xml:space="preserve">, the state is also imposing decisions regarding how women are to </w:t>
      </w:r>
      <w:r>
        <w:rPr>
          <w:rFonts w:ascii="Times New Roman" w:hAnsi="Times New Roman"/>
          <w:sz w:val="24"/>
          <w:szCs w:val="24"/>
          <w:lang w:val="en-US"/>
        </w:rPr>
        <w:t>deliver</w:t>
      </w:r>
      <w:r w:rsidRPr="00B17E9A">
        <w:rPr>
          <w:rFonts w:ascii="Times New Roman" w:hAnsi="Times New Roman"/>
          <w:sz w:val="24"/>
          <w:szCs w:val="24"/>
          <w:lang w:val="en-US"/>
        </w:rPr>
        <w:t xml:space="preserve"> these three children. The </w:t>
      </w:r>
      <w:r w:rsidR="008A5D0B">
        <w:rPr>
          <w:rFonts w:ascii="Times New Roman" w:hAnsi="Times New Roman"/>
          <w:sz w:val="24"/>
          <w:szCs w:val="24"/>
          <w:lang w:val="en-US"/>
        </w:rPr>
        <w:t>M</w:t>
      </w:r>
      <w:r w:rsidRPr="00B17E9A">
        <w:rPr>
          <w:rFonts w:ascii="Times New Roman" w:hAnsi="Times New Roman"/>
          <w:sz w:val="24"/>
          <w:szCs w:val="24"/>
          <w:lang w:val="en-US"/>
        </w:rPr>
        <w:t>inistry</w:t>
      </w:r>
      <w:r w:rsidR="008A5D0B">
        <w:rPr>
          <w:rFonts w:ascii="Times New Roman" w:hAnsi="Times New Roman"/>
          <w:sz w:val="24"/>
          <w:szCs w:val="24"/>
          <w:lang w:val="en-US"/>
        </w:rPr>
        <w:t xml:space="preserve"> of Health</w:t>
      </w:r>
      <w:r w:rsidRPr="00B17E9A">
        <w:rPr>
          <w:rFonts w:ascii="Times New Roman" w:hAnsi="Times New Roman"/>
          <w:sz w:val="24"/>
          <w:szCs w:val="24"/>
          <w:lang w:val="en-US"/>
        </w:rPr>
        <w:t xml:space="preserve">, which sought to limit the widespread </w:t>
      </w:r>
      <w:r>
        <w:rPr>
          <w:rFonts w:ascii="Times New Roman" w:hAnsi="Times New Roman"/>
          <w:sz w:val="24"/>
          <w:szCs w:val="24"/>
          <w:lang w:val="en-US"/>
        </w:rPr>
        <w:t xml:space="preserve">amount of </w:t>
      </w:r>
      <w:r w:rsidRPr="00B17E9A">
        <w:rPr>
          <w:rFonts w:ascii="Times New Roman" w:hAnsi="Times New Roman"/>
          <w:sz w:val="24"/>
          <w:szCs w:val="24"/>
          <w:lang w:val="en-US"/>
        </w:rPr>
        <w:t xml:space="preserve">C-section births, has found </w:t>
      </w:r>
      <w:r>
        <w:rPr>
          <w:rFonts w:ascii="Times New Roman" w:hAnsi="Times New Roman"/>
          <w:sz w:val="24"/>
          <w:szCs w:val="24"/>
          <w:lang w:val="en-US"/>
        </w:rPr>
        <w:t xml:space="preserve">a </w:t>
      </w:r>
      <w:r w:rsidRPr="00B17E9A">
        <w:rPr>
          <w:rFonts w:ascii="Times New Roman" w:hAnsi="Times New Roman"/>
          <w:sz w:val="24"/>
          <w:szCs w:val="24"/>
          <w:lang w:val="en-US"/>
        </w:rPr>
        <w:t xml:space="preserve">remedy </w:t>
      </w:r>
      <w:r>
        <w:rPr>
          <w:rFonts w:ascii="Times New Roman" w:hAnsi="Times New Roman"/>
          <w:sz w:val="24"/>
          <w:szCs w:val="24"/>
          <w:lang w:val="en-US"/>
        </w:rPr>
        <w:t xml:space="preserve">by </w:t>
      </w:r>
      <w:r w:rsidRPr="00B17E9A">
        <w:rPr>
          <w:rFonts w:ascii="Times New Roman" w:hAnsi="Times New Roman"/>
          <w:sz w:val="24"/>
          <w:szCs w:val="24"/>
          <w:lang w:val="en-US"/>
        </w:rPr>
        <w:t xml:space="preserve">penalizing doctors who perform </w:t>
      </w:r>
      <w:r>
        <w:rPr>
          <w:rFonts w:ascii="Times New Roman" w:hAnsi="Times New Roman"/>
          <w:sz w:val="24"/>
          <w:szCs w:val="24"/>
          <w:lang w:val="en-US"/>
        </w:rPr>
        <w:t xml:space="preserve">a </w:t>
      </w:r>
      <w:r w:rsidRPr="00B17E9A">
        <w:rPr>
          <w:rFonts w:ascii="Times New Roman" w:hAnsi="Times New Roman"/>
          <w:sz w:val="24"/>
          <w:szCs w:val="24"/>
          <w:lang w:val="en-US"/>
        </w:rPr>
        <w:t xml:space="preserve">C-section “unless it is necessary”. In a parallel control mechanism, pregnancy tests and morning after pills have become subject to tracking, and women’s access to </w:t>
      </w:r>
      <w:r>
        <w:rPr>
          <w:rFonts w:ascii="Times New Roman" w:hAnsi="Times New Roman"/>
          <w:sz w:val="24"/>
          <w:szCs w:val="24"/>
          <w:lang w:val="en-US"/>
        </w:rPr>
        <w:t>both</w:t>
      </w:r>
      <w:r w:rsidRPr="00B17E9A">
        <w:rPr>
          <w:rFonts w:ascii="Times New Roman" w:hAnsi="Times New Roman"/>
          <w:sz w:val="24"/>
          <w:szCs w:val="24"/>
          <w:lang w:val="en-US"/>
        </w:rPr>
        <w:t xml:space="preserve"> have been regulated by what could be deemed moral restrictions.</w:t>
      </w:r>
    </w:p>
    <w:p w:rsidR="002B70B1" w:rsidRDefault="002B70B1" w:rsidP="002B70B1">
      <w:pPr>
        <w:shd w:val="clear" w:color="auto" w:fill="FFFFFF" w:themeFill="background1"/>
        <w:spacing w:after="0"/>
        <w:jc w:val="both"/>
        <w:rPr>
          <w:rFonts w:ascii="Times New Roman" w:eastAsiaTheme="minorEastAsia" w:hAnsi="Times New Roman"/>
          <w:b/>
          <w:sz w:val="24"/>
          <w:szCs w:val="24"/>
          <w:lang w:val="en-US"/>
        </w:rPr>
      </w:pPr>
    </w:p>
    <w:p w:rsidR="002B70B1" w:rsidRPr="000002AC" w:rsidRDefault="002B70B1" w:rsidP="002B70B1">
      <w:pPr>
        <w:shd w:val="clear" w:color="auto" w:fill="FFFFFF" w:themeFill="background1"/>
        <w:spacing w:after="0"/>
        <w:jc w:val="both"/>
        <w:rPr>
          <w:rFonts w:ascii="Times New Roman" w:eastAsiaTheme="minorEastAsia" w:hAnsi="Times New Roman"/>
          <w:b/>
          <w:sz w:val="24"/>
          <w:szCs w:val="24"/>
          <w:u w:val="single"/>
          <w:lang w:val="en-US"/>
        </w:rPr>
      </w:pPr>
      <w:r w:rsidRPr="00967A38">
        <w:rPr>
          <w:rFonts w:ascii="Times New Roman" w:eastAsiaTheme="minorEastAsia" w:hAnsi="Times New Roman"/>
          <w:b/>
          <w:sz w:val="24"/>
          <w:szCs w:val="24"/>
          <w:u w:val="single"/>
          <w:lang w:val="en-US"/>
        </w:rPr>
        <w:t>A Review of Developments around the Issue of Violence against Women</w:t>
      </w:r>
    </w:p>
    <w:p w:rsidR="002B70B1" w:rsidRDefault="002B70B1" w:rsidP="002B70B1">
      <w:pPr>
        <w:spacing w:after="0"/>
        <w:jc w:val="both"/>
        <w:rPr>
          <w:rFonts w:ascii="Times New Roman" w:eastAsiaTheme="minorEastAsia" w:hAnsi="Times New Roman"/>
          <w:b/>
          <w:sz w:val="24"/>
          <w:szCs w:val="24"/>
          <w:lang w:val="en-US"/>
        </w:rPr>
      </w:pPr>
    </w:p>
    <w:p w:rsidR="002B70B1" w:rsidRPr="00B17E9A" w:rsidRDefault="002B70B1" w:rsidP="002B70B1">
      <w:pPr>
        <w:spacing w:after="0"/>
        <w:jc w:val="both"/>
        <w:rPr>
          <w:rFonts w:ascii="Times New Roman" w:eastAsiaTheme="minorEastAsia" w:hAnsi="Times New Roman"/>
          <w:b/>
          <w:sz w:val="24"/>
          <w:szCs w:val="24"/>
          <w:lang w:val="en-US"/>
        </w:rPr>
      </w:pPr>
      <w:r w:rsidRPr="00B17E9A">
        <w:rPr>
          <w:rFonts w:ascii="Times New Roman" w:eastAsiaTheme="minorEastAsia" w:hAnsi="Times New Roman"/>
          <w:b/>
          <w:sz w:val="24"/>
          <w:szCs w:val="24"/>
          <w:lang w:val="en-US"/>
        </w:rPr>
        <w:t>Relevant articles:</w:t>
      </w:r>
    </w:p>
    <w:p w:rsidR="002B70B1" w:rsidRDefault="002B70B1" w:rsidP="002B70B1">
      <w:pPr>
        <w:spacing w:after="0"/>
        <w:jc w:val="both"/>
        <w:rPr>
          <w:rFonts w:ascii="Times New Roman" w:eastAsiaTheme="minorEastAsia" w:hAnsi="Times New Roman"/>
          <w:b/>
          <w:sz w:val="24"/>
          <w:szCs w:val="24"/>
          <w:lang w:val="en-US"/>
        </w:rPr>
      </w:pPr>
    </w:p>
    <w:p w:rsidR="002B70B1" w:rsidRPr="00B17E9A" w:rsidRDefault="002B70B1" w:rsidP="002B70B1">
      <w:pPr>
        <w:spacing w:after="0"/>
        <w:jc w:val="both"/>
        <w:rPr>
          <w:rFonts w:ascii="Times New Roman" w:eastAsiaTheme="minorEastAsia" w:hAnsi="Times New Roman"/>
          <w:b/>
          <w:sz w:val="24"/>
          <w:szCs w:val="24"/>
          <w:lang w:val="en-US"/>
        </w:rPr>
      </w:pPr>
      <w:r w:rsidRPr="00B17E9A">
        <w:rPr>
          <w:rFonts w:ascii="Times New Roman" w:eastAsiaTheme="minorEastAsia" w:hAnsi="Times New Roman"/>
          <w:b/>
          <w:sz w:val="24"/>
          <w:szCs w:val="24"/>
          <w:lang w:val="en-US"/>
        </w:rPr>
        <w:t>CEDAW Committee General Recommendation no.</w:t>
      </w:r>
      <w:r>
        <w:rPr>
          <w:rFonts w:ascii="Times New Roman" w:eastAsiaTheme="minorEastAsia" w:hAnsi="Times New Roman"/>
          <w:b/>
          <w:sz w:val="24"/>
          <w:szCs w:val="24"/>
          <w:lang w:val="en-US"/>
        </w:rPr>
        <w:t xml:space="preserve"> 19 and A</w:t>
      </w:r>
      <w:r w:rsidRPr="00B17E9A">
        <w:rPr>
          <w:rFonts w:ascii="Times New Roman" w:eastAsiaTheme="minorEastAsia" w:hAnsi="Times New Roman"/>
          <w:b/>
          <w:sz w:val="24"/>
          <w:szCs w:val="24"/>
          <w:lang w:val="en-US"/>
        </w:rPr>
        <w:t>rticles 2</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(e,</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f), 3,</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4</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(2),</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5,</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10,</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11/2</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(a,</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d),</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12/1, 14/2</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(b, c,</w:t>
      </w:r>
      <w:r>
        <w:rPr>
          <w:rFonts w:ascii="Times New Roman" w:eastAsiaTheme="minorEastAsia" w:hAnsi="Times New Roman"/>
          <w:b/>
          <w:sz w:val="24"/>
          <w:szCs w:val="24"/>
          <w:lang w:val="en-US"/>
        </w:rPr>
        <w:t xml:space="preserve"> </w:t>
      </w:r>
      <w:r w:rsidRPr="00B17E9A">
        <w:rPr>
          <w:rFonts w:ascii="Times New Roman" w:eastAsiaTheme="minorEastAsia" w:hAnsi="Times New Roman"/>
          <w:b/>
          <w:sz w:val="24"/>
          <w:szCs w:val="24"/>
          <w:lang w:val="en-US"/>
        </w:rPr>
        <w:t>h)</w:t>
      </w:r>
      <w:r>
        <w:rPr>
          <w:rFonts w:ascii="Times New Roman" w:eastAsiaTheme="minorEastAsia" w:hAnsi="Times New Roman"/>
          <w:b/>
          <w:sz w:val="24"/>
          <w:szCs w:val="24"/>
          <w:lang w:val="en-US"/>
        </w:rPr>
        <w:t>,</w:t>
      </w:r>
      <w:r w:rsidRPr="00B17E9A">
        <w:rPr>
          <w:rFonts w:ascii="Times New Roman" w:eastAsiaTheme="minorEastAsia" w:hAnsi="Times New Roman"/>
          <w:b/>
          <w:sz w:val="24"/>
          <w:szCs w:val="24"/>
          <w:lang w:val="en-US"/>
        </w:rPr>
        <w:t xml:space="preserve"> 16/1  </w:t>
      </w:r>
    </w:p>
    <w:p w:rsidR="002B70B1" w:rsidRDefault="002B70B1" w:rsidP="002B70B1">
      <w:pPr>
        <w:spacing w:after="0"/>
        <w:jc w:val="both"/>
        <w:rPr>
          <w:rFonts w:ascii="Times New Roman" w:eastAsiaTheme="minorEastAsia" w:hAnsi="Times New Roman"/>
          <w:b/>
          <w:sz w:val="24"/>
          <w:szCs w:val="24"/>
          <w:lang w:val="en-US"/>
        </w:rPr>
      </w:pPr>
    </w:p>
    <w:p w:rsidR="002B70B1" w:rsidRPr="00B17E9A" w:rsidRDefault="002B70B1" w:rsidP="002B70B1">
      <w:pPr>
        <w:spacing w:after="0"/>
        <w:jc w:val="both"/>
        <w:rPr>
          <w:rFonts w:ascii="Times New Roman" w:eastAsiaTheme="minorEastAsia" w:hAnsi="Times New Roman"/>
          <w:b/>
          <w:sz w:val="24"/>
          <w:szCs w:val="24"/>
          <w:lang w:val="en-US"/>
        </w:rPr>
      </w:pPr>
      <w:r w:rsidRPr="00B17E9A">
        <w:rPr>
          <w:rFonts w:ascii="Times New Roman" w:eastAsiaTheme="minorEastAsia" w:hAnsi="Times New Roman"/>
          <w:b/>
          <w:sz w:val="24"/>
          <w:szCs w:val="24"/>
          <w:lang w:val="en-US"/>
        </w:rPr>
        <w:t xml:space="preserve">Concluding Comments Paragraphs 22, 23, 24 under the heading “Violence against Women” </w:t>
      </w:r>
    </w:p>
    <w:p w:rsidR="002B70B1" w:rsidRDefault="002B70B1" w:rsidP="002B70B1">
      <w:pPr>
        <w:spacing w:after="0"/>
        <w:jc w:val="both"/>
        <w:rPr>
          <w:rFonts w:ascii="Times New Roman" w:hAnsi="Times New Roman"/>
          <w:sz w:val="24"/>
          <w:szCs w:val="24"/>
          <w:lang w:val="en-US"/>
        </w:rPr>
      </w:pPr>
    </w:p>
    <w:p w:rsidR="002B70B1" w:rsidRDefault="002B70B1" w:rsidP="002B70B1">
      <w:pPr>
        <w:spacing w:after="0"/>
        <w:jc w:val="both"/>
        <w:rPr>
          <w:rFonts w:ascii="Times New Roman" w:hAnsi="Times New Roman"/>
          <w:sz w:val="24"/>
          <w:szCs w:val="24"/>
          <w:lang w:val="en-US"/>
        </w:rPr>
      </w:pPr>
      <w:r w:rsidRPr="00B17E9A">
        <w:rPr>
          <w:rFonts w:ascii="Times New Roman" w:hAnsi="Times New Roman"/>
          <w:sz w:val="24"/>
          <w:szCs w:val="24"/>
          <w:lang w:val="en-US"/>
        </w:rPr>
        <w:t>The most important development around the issue of eliminating violence against women, which was a major component of the government report, is the new Law on the Protection</w:t>
      </w:r>
      <w:r>
        <w:rPr>
          <w:rFonts w:ascii="Times New Roman" w:hAnsi="Times New Roman"/>
          <w:sz w:val="24"/>
          <w:szCs w:val="24"/>
          <w:lang w:val="en-US"/>
        </w:rPr>
        <w:t xml:space="preserve"> of </w:t>
      </w:r>
      <w:r>
        <w:rPr>
          <w:rFonts w:ascii="Times New Roman" w:hAnsi="Times New Roman"/>
          <w:sz w:val="24"/>
          <w:szCs w:val="24"/>
          <w:lang w:val="en-US"/>
        </w:rPr>
        <w:lastRenderedPageBreak/>
        <w:t>the Family and</w:t>
      </w:r>
      <w:r w:rsidRPr="00B17E9A">
        <w:rPr>
          <w:rFonts w:ascii="Times New Roman" w:hAnsi="Times New Roman"/>
          <w:sz w:val="24"/>
          <w:szCs w:val="24"/>
          <w:lang w:val="en-US"/>
        </w:rPr>
        <w:t xml:space="preserve"> </w:t>
      </w:r>
      <w:r>
        <w:rPr>
          <w:rFonts w:ascii="Times New Roman" w:hAnsi="Times New Roman"/>
          <w:sz w:val="24"/>
          <w:szCs w:val="24"/>
          <w:lang w:val="en-US"/>
        </w:rPr>
        <w:t>the Prevention</w:t>
      </w:r>
      <w:r w:rsidRPr="00B17E9A">
        <w:rPr>
          <w:rFonts w:ascii="Times New Roman" w:hAnsi="Times New Roman"/>
          <w:sz w:val="24"/>
          <w:szCs w:val="24"/>
          <w:lang w:val="en-US"/>
        </w:rPr>
        <w:t xml:space="preserve"> of Violence against Women. The shortcomings of the legislation and the lawmaking process are delineated below:</w:t>
      </w:r>
    </w:p>
    <w:p w:rsidR="002B70B1" w:rsidRPr="00B17E9A" w:rsidRDefault="002B70B1" w:rsidP="002B70B1">
      <w:pPr>
        <w:spacing w:after="0"/>
        <w:jc w:val="both"/>
        <w:rPr>
          <w:rFonts w:ascii="Times New Roman" w:hAnsi="Times New Roman"/>
          <w:sz w:val="24"/>
          <w:szCs w:val="24"/>
          <w:lang w:val="en-US"/>
        </w:rPr>
      </w:pPr>
    </w:p>
    <w:p w:rsidR="002B70B1" w:rsidRDefault="002B70B1" w:rsidP="002B70B1">
      <w:pPr>
        <w:pStyle w:val="ListeParagraf1"/>
        <w:numPr>
          <w:ilvl w:val="0"/>
          <w:numId w:val="2"/>
        </w:numPr>
        <w:spacing w:after="0"/>
        <w:rPr>
          <w:lang w:val="en-US"/>
        </w:rPr>
      </w:pPr>
      <w:r w:rsidRPr="00B17E9A">
        <w:rPr>
          <w:lang w:val="en-US"/>
        </w:rPr>
        <w:t>The law</w:t>
      </w:r>
      <w:r>
        <w:rPr>
          <w:lang w:val="en-US"/>
        </w:rPr>
        <w:t>-</w:t>
      </w:r>
      <w:r w:rsidRPr="00B17E9A">
        <w:rPr>
          <w:lang w:val="en-US"/>
        </w:rPr>
        <w:t xml:space="preserve">making process entailed the participation of women’s rights organizations. However, neither the draft law </w:t>
      </w:r>
      <w:r>
        <w:rPr>
          <w:lang w:val="en-US"/>
        </w:rPr>
        <w:t xml:space="preserve">that </w:t>
      </w:r>
      <w:r w:rsidRPr="00B17E9A">
        <w:rPr>
          <w:lang w:val="en-US"/>
        </w:rPr>
        <w:t xml:space="preserve">women’s rights organizations prepared </w:t>
      </w:r>
      <w:r>
        <w:rPr>
          <w:lang w:val="en-US"/>
        </w:rPr>
        <w:t>with</w:t>
      </w:r>
      <w:r w:rsidRPr="00B17E9A">
        <w:rPr>
          <w:lang w:val="en-US"/>
        </w:rPr>
        <w:t xml:space="preserve"> consideration </w:t>
      </w:r>
      <w:r>
        <w:rPr>
          <w:lang w:val="en-US"/>
        </w:rPr>
        <w:t xml:space="preserve">of </w:t>
      </w:r>
      <w:r w:rsidRPr="00B17E9A">
        <w:rPr>
          <w:lang w:val="en-US"/>
        </w:rPr>
        <w:t>the inadequacies of the previous law no.</w:t>
      </w:r>
      <w:r>
        <w:rPr>
          <w:lang w:val="en-US"/>
        </w:rPr>
        <w:t xml:space="preserve"> </w:t>
      </w:r>
      <w:r w:rsidRPr="00B17E9A">
        <w:rPr>
          <w:lang w:val="en-US"/>
        </w:rPr>
        <w:t xml:space="preserve">4320 on the Protection of the Family and its implementation nor their nonnegotiable demands were finally taken into consideration by the Ministry of Family and Social Policy in the process. Instead, women’s organizations proposals were restructured by the Ministry in accordance with the conservative policies of the government. When women’s organizations voiced this concern, they were unable to get any substantial response from the </w:t>
      </w:r>
      <w:r>
        <w:rPr>
          <w:lang w:val="en-US"/>
        </w:rPr>
        <w:t>M</w:t>
      </w:r>
      <w:r w:rsidRPr="00B17E9A">
        <w:rPr>
          <w:lang w:val="en-US"/>
        </w:rPr>
        <w:t xml:space="preserve">inistry. Due to the </w:t>
      </w:r>
      <w:r>
        <w:rPr>
          <w:lang w:val="en-US"/>
        </w:rPr>
        <w:t>M</w:t>
      </w:r>
      <w:r w:rsidRPr="00B17E9A">
        <w:rPr>
          <w:lang w:val="en-US"/>
        </w:rPr>
        <w:t>inistry’s tenacious approach to treat</w:t>
      </w:r>
      <w:r>
        <w:rPr>
          <w:lang w:val="en-US"/>
        </w:rPr>
        <w:t>ing</w:t>
      </w:r>
      <w:r w:rsidRPr="00B17E9A">
        <w:rPr>
          <w:lang w:val="en-US"/>
        </w:rPr>
        <w:t xml:space="preserve"> women’s organizations as a bureaucratic institution within the state hierarchy and the </w:t>
      </w:r>
      <w:r>
        <w:rPr>
          <w:lang w:val="en-US"/>
        </w:rPr>
        <w:t>M</w:t>
      </w:r>
      <w:r w:rsidRPr="00B17E9A">
        <w:rPr>
          <w:lang w:val="en-US"/>
        </w:rPr>
        <w:t xml:space="preserve">inistry’s discriminatory stance </w:t>
      </w:r>
      <w:r>
        <w:rPr>
          <w:lang w:val="en-US"/>
        </w:rPr>
        <w:t xml:space="preserve">by </w:t>
      </w:r>
      <w:r w:rsidRPr="00B17E9A">
        <w:rPr>
          <w:lang w:val="en-US"/>
        </w:rPr>
        <w:t xml:space="preserve">disregarding women’s right to make decisions </w:t>
      </w:r>
      <w:r>
        <w:rPr>
          <w:lang w:val="en-US"/>
        </w:rPr>
        <w:t>concerning</w:t>
      </w:r>
      <w:r w:rsidRPr="00B17E9A">
        <w:rPr>
          <w:lang w:val="en-US"/>
        </w:rPr>
        <w:t xml:space="preserve"> their bodies in the abortion ban attempt, women’s organizations have </w:t>
      </w:r>
      <w:r>
        <w:rPr>
          <w:lang w:val="en-US"/>
        </w:rPr>
        <w:t>decided</w:t>
      </w:r>
      <w:r w:rsidRPr="00B17E9A">
        <w:rPr>
          <w:lang w:val="en-US"/>
        </w:rPr>
        <w:t xml:space="preserve"> to abstain from participating in the process of the drafting of </w:t>
      </w:r>
      <w:r>
        <w:rPr>
          <w:lang w:val="en-US"/>
        </w:rPr>
        <w:t xml:space="preserve">the </w:t>
      </w:r>
      <w:r w:rsidRPr="00B17E9A">
        <w:rPr>
          <w:lang w:val="en-US"/>
        </w:rPr>
        <w:t>bylaw</w:t>
      </w:r>
      <w:r>
        <w:rPr>
          <w:lang w:val="en-US"/>
        </w:rPr>
        <w:t xml:space="preserve"> of </w:t>
      </w:r>
      <w:r w:rsidRPr="00B17E9A">
        <w:rPr>
          <w:lang w:val="en-US"/>
        </w:rPr>
        <w:t xml:space="preserve">shelters. </w:t>
      </w:r>
    </w:p>
    <w:p w:rsidR="002B70B1" w:rsidRDefault="002B70B1" w:rsidP="002B70B1">
      <w:pPr>
        <w:pStyle w:val="ListeParagraf1"/>
        <w:numPr>
          <w:ilvl w:val="0"/>
          <w:numId w:val="0"/>
        </w:numPr>
        <w:spacing w:after="0"/>
        <w:ind w:left="360"/>
        <w:rPr>
          <w:lang w:val="en-US"/>
        </w:rPr>
      </w:pPr>
    </w:p>
    <w:p w:rsidR="002B70B1" w:rsidRDefault="002B70B1" w:rsidP="002B70B1">
      <w:pPr>
        <w:pStyle w:val="ListeParagraf1"/>
        <w:spacing w:after="0"/>
        <w:rPr>
          <w:lang w:val="en-US"/>
        </w:rPr>
      </w:pPr>
      <w:r w:rsidRPr="00F44B95">
        <w:rPr>
          <w:lang w:val="en-US"/>
        </w:rPr>
        <w:t xml:space="preserve">One of the most significant problems with the law that should combat violence against women is the name of the law as it was passed in the parliament. The law was initially </w:t>
      </w:r>
      <w:r>
        <w:rPr>
          <w:lang w:val="en-US"/>
        </w:rPr>
        <w:t>en</w:t>
      </w:r>
      <w:r w:rsidRPr="00F44B95">
        <w:rPr>
          <w:lang w:val="en-US"/>
        </w:rPr>
        <w:t xml:space="preserve">titled </w:t>
      </w:r>
      <w:r>
        <w:rPr>
          <w:lang w:val="en-US"/>
        </w:rPr>
        <w:t xml:space="preserve">the </w:t>
      </w:r>
      <w:r w:rsidRPr="00F44B95">
        <w:rPr>
          <w:lang w:val="en-US"/>
        </w:rPr>
        <w:t xml:space="preserve">“Law on the Protection of Women and Family Members from Violence”. </w:t>
      </w:r>
      <w:r>
        <w:rPr>
          <w:lang w:val="en-US"/>
        </w:rPr>
        <w:t>The</w:t>
      </w:r>
      <w:r w:rsidRPr="00F44B95">
        <w:rPr>
          <w:lang w:val="en-US"/>
        </w:rPr>
        <w:t xml:space="preserve"> cabinet</w:t>
      </w:r>
      <w:r>
        <w:rPr>
          <w:lang w:val="en-US"/>
        </w:rPr>
        <w:t>, however,</w:t>
      </w:r>
      <w:r w:rsidRPr="00F44B95">
        <w:rPr>
          <w:lang w:val="en-US"/>
        </w:rPr>
        <w:t xml:space="preserve"> changed the name of the draft law and requested </w:t>
      </w:r>
      <w:r>
        <w:rPr>
          <w:lang w:val="en-US"/>
        </w:rPr>
        <w:t xml:space="preserve">only </w:t>
      </w:r>
      <w:r w:rsidRPr="00F44B95">
        <w:rPr>
          <w:lang w:val="en-US"/>
        </w:rPr>
        <w:t>the inclusion of “protection of the family” in the title. This title led to the gravest drawback, because it was a message to judges</w:t>
      </w:r>
      <w:r>
        <w:rPr>
          <w:lang w:val="en-US"/>
        </w:rPr>
        <w:t xml:space="preserve"> that they</w:t>
      </w:r>
      <w:r w:rsidRPr="00F44B95">
        <w:rPr>
          <w:lang w:val="en-US"/>
        </w:rPr>
        <w:t xml:space="preserve"> “first protect the family, ensur</w:t>
      </w:r>
      <w:r>
        <w:rPr>
          <w:lang w:val="en-US"/>
        </w:rPr>
        <w:t>ing</w:t>
      </w:r>
      <w:r w:rsidRPr="00F44B95">
        <w:rPr>
          <w:lang w:val="en-US"/>
        </w:rPr>
        <w:t xml:space="preserve"> that the woman succumbs even if she faces violence so she does not jeopardize the unity of the family”. To give a more concrete example, in a trial in which one of the authors of this report served as a lawyer</w:t>
      </w:r>
      <w:r>
        <w:rPr>
          <w:lang w:val="en-US"/>
        </w:rPr>
        <w:t>,</w:t>
      </w:r>
      <w:r w:rsidRPr="00F44B95">
        <w:rPr>
          <w:lang w:val="en-US"/>
        </w:rPr>
        <w:t xml:space="preserve"> </w:t>
      </w:r>
      <w:r>
        <w:rPr>
          <w:lang w:val="en-US"/>
        </w:rPr>
        <w:t xml:space="preserve">in which the lawyer objected </w:t>
      </w:r>
      <w:r w:rsidRPr="00F44B95">
        <w:rPr>
          <w:lang w:val="en-US"/>
        </w:rPr>
        <w:t>the ruling</w:t>
      </w:r>
      <w:r>
        <w:rPr>
          <w:lang w:val="en-US"/>
        </w:rPr>
        <w:t xml:space="preserve"> with the reason </w:t>
      </w:r>
      <w:r w:rsidRPr="00F44B95">
        <w:rPr>
          <w:lang w:val="en-US"/>
        </w:rPr>
        <w:t>that the decree should make reference to the CEDAW and abide by its principles</w:t>
      </w:r>
      <w:r>
        <w:rPr>
          <w:lang w:val="en-US"/>
        </w:rPr>
        <w:t>.</w:t>
      </w:r>
      <w:r w:rsidRPr="00F44B95">
        <w:rPr>
          <w:lang w:val="en-US"/>
        </w:rPr>
        <w:t xml:space="preserve"> </w:t>
      </w:r>
      <w:r>
        <w:rPr>
          <w:lang w:val="en-US"/>
        </w:rPr>
        <w:t xml:space="preserve">As a response to her objection, </w:t>
      </w:r>
      <w:r w:rsidRPr="00F44B95">
        <w:rPr>
          <w:lang w:val="en-US"/>
        </w:rPr>
        <w:t>the family court judge stated, “the priority is on the protection of the family”</w:t>
      </w:r>
      <w:r>
        <w:rPr>
          <w:lang w:val="en-US"/>
        </w:rPr>
        <w:t>.</w:t>
      </w:r>
    </w:p>
    <w:p w:rsidR="002B70B1" w:rsidRDefault="002B70B1" w:rsidP="002B70B1">
      <w:pPr>
        <w:pStyle w:val="ListeParagraf1"/>
        <w:numPr>
          <w:ilvl w:val="0"/>
          <w:numId w:val="0"/>
        </w:numPr>
        <w:spacing w:after="0"/>
        <w:ind w:left="360"/>
        <w:rPr>
          <w:lang w:val="en-US"/>
        </w:rPr>
      </w:pPr>
    </w:p>
    <w:p w:rsidR="002B70B1" w:rsidRDefault="002B70B1" w:rsidP="002B70B1">
      <w:pPr>
        <w:pStyle w:val="ListeParagraf1"/>
        <w:spacing w:after="0"/>
        <w:rPr>
          <w:lang w:val="en-US"/>
        </w:rPr>
      </w:pPr>
      <w:r w:rsidRPr="00F44B95">
        <w:rPr>
          <w:lang w:val="en-US"/>
        </w:rPr>
        <w:t>The principle of “gender equality” was left out of the principles of the law, on the grounds that this might also apply to LBGT individuals. This was instead replaced by the following statement: “In the provision of support and services to victims of violence, a human rights-based and gender equality sensitive approach in line with the principle</w:t>
      </w:r>
      <w:r>
        <w:rPr>
          <w:lang w:val="en-US"/>
        </w:rPr>
        <w:t>s</w:t>
      </w:r>
      <w:r w:rsidRPr="00F44B95">
        <w:rPr>
          <w:lang w:val="en-US"/>
        </w:rPr>
        <w:t xml:space="preserve"> of the social state is adopted in a fair, effective and swift manner.” </w:t>
      </w:r>
    </w:p>
    <w:p w:rsidR="002B70B1" w:rsidRDefault="002B70B1" w:rsidP="002B70B1">
      <w:pPr>
        <w:pStyle w:val="ListeParagraf1"/>
        <w:numPr>
          <w:ilvl w:val="0"/>
          <w:numId w:val="0"/>
        </w:numPr>
        <w:spacing w:after="0"/>
        <w:rPr>
          <w:lang w:val="en-US"/>
        </w:rPr>
      </w:pPr>
    </w:p>
    <w:p w:rsidR="002B70B1" w:rsidRDefault="002B70B1" w:rsidP="002B70B1">
      <w:pPr>
        <w:pStyle w:val="ListeParagraf1"/>
        <w:spacing w:after="0"/>
        <w:rPr>
          <w:lang w:val="en-US"/>
        </w:rPr>
      </w:pPr>
      <w:r w:rsidRPr="00F44B95">
        <w:rPr>
          <w:lang w:val="en-US"/>
        </w:rPr>
        <w:t>The term “sexual orientation and sexual identity</w:t>
      </w:r>
      <w:r>
        <w:rPr>
          <w:lang w:val="en-US"/>
        </w:rPr>
        <w:t>,</w:t>
      </w:r>
      <w:r w:rsidRPr="00F44B95">
        <w:rPr>
          <w:lang w:val="en-US"/>
        </w:rPr>
        <w:t xml:space="preserve">” which would enable the protection of LGBT individuals as proposed by women’s organizations </w:t>
      </w:r>
      <w:r>
        <w:rPr>
          <w:lang w:val="en-US"/>
        </w:rPr>
        <w:t xml:space="preserve">and made reference to in the Istanbul Convention, </w:t>
      </w:r>
      <w:r w:rsidRPr="00F44B95">
        <w:rPr>
          <w:lang w:val="en-US"/>
        </w:rPr>
        <w:t>was not included in the legislation text.</w:t>
      </w:r>
    </w:p>
    <w:p w:rsidR="002B70B1" w:rsidRDefault="002B70B1" w:rsidP="002B70B1">
      <w:pPr>
        <w:pStyle w:val="ListeParagraf1"/>
        <w:numPr>
          <w:ilvl w:val="0"/>
          <w:numId w:val="0"/>
        </w:numPr>
        <w:spacing w:after="0"/>
        <w:rPr>
          <w:lang w:val="en-US"/>
        </w:rPr>
      </w:pPr>
    </w:p>
    <w:p w:rsidR="002B70B1" w:rsidRDefault="002B70B1" w:rsidP="002B70B1">
      <w:pPr>
        <w:pStyle w:val="ListeParagraf1"/>
        <w:spacing w:after="0"/>
        <w:rPr>
          <w:lang w:val="en-US"/>
        </w:rPr>
      </w:pPr>
      <w:r w:rsidRPr="008D1A6A">
        <w:rPr>
          <w:lang w:val="en-US"/>
        </w:rPr>
        <w:t xml:space="preserve">Women and children’s access to justice is obstructed by practices such as forcing sexual violence victims to undergo gynecological and psychological examinations, forcing a 3.5 year old victim to testify at trial, </w:t>
      </w:r>
      <w:r>
        <w:rPr>
          <w:lang w:val="en-US"/>
        </w:rPr>
        <w:t xml:space="preserve">and </w:t>
      </w:r>
      <w:r w:rsidRPr="008D1A6A">
        <w:rPr>
          <w:lang w:val="en-US"/>
        </w:rPr>
        <w:t>the denial of non-public case</w:t>
      </w:r>
      <w:r>
        <w:rPr>
          <w:lang w:val="en-US"/>
        </w:rPr>
        <w:t>s</w:t>
      </w:r>
      <w:r w:rsidRPr="008D1A6A">
        <w:rPr>
          <w:lang w:val="en-US"/>
        </w:rPr>
        <w:t xml:space="preserve"> and trial</w:t>
      </w:r>
      <w:r>
        <w:rPr>
          <w:lang w:val="en-US"/>
        </w:rPr>
        <w:t>s</w:t>
      </w:r>
      <w:r w:rsidRPr="008D1A6A">
        <w:rPr>
          <w:lang w:val="en-US"/>
        </w:rPr>
        <w:t xml:space="preserve"> to protect the right to privacy.</w:t>
      </w:r>
    </w:p>
    <w:p w:rsidR="002B70B1" w:rsidRPr="00F44B95" w:rsidRDefault="002B70B1" w:rsidP="002B70B1">
      <w:pPr>
        <w:pStyle w:val="ListeParagraf1"/>
        <w:spacing w:after="0"/>
        <w:rPr>
          <w:lang w:val="en-US"/>
        </w:rPr>
      </w:pPr>
      <w:r w:rsidRPr="00F44B95">
        <w:rPr>
          <w:lang w:val="en-US"/>
        </w:rPr>
        <w:lastRenderedPageBreak/>
        <w:t>Even though</w:t>
      </w:r>
      <w:r>
        <w:rPr>
          <w:lang w:val="en-US"/>
        </w:rPr>
        <w:t xml:space="preserve"> the law made reference to the I</w:t>
      </w:r>
      <w:r w:rsidRPr="00F44B95">
        <w:rPr>
          <w:lang w:val="en-US"/>
        </w:rPr>
        <w:t>stanbul Convention grounded in CEDAW principles, the prohibition of reconciliation and mediation was not included in the text. As such</w:t>
      </w:r>
      <w:r>
        <w:rPr>
          <w:lang w:val="en-US"/>
        </w:rPr>
        <w:t>,</w:t>
      </w:r>
      <w:r w:rsidRPr="00F44B95">
        <w:rPr>
          <w:lang w:val="en-US"/>
        </w:rPr>
        <w:t xml:space="preserve"> the reconciliation proposals and mediation efforts of security forces, civilian authorities, prosecutors, lawyers and judges were legitimized.</w:t>
      </w:r>
      <w:r>
        <w:rPr>
          <w:rStyle w:val="DipnotBavurusu"/>
          <w:lang w:val="en-US"/>
        </w:rPr>
        <w:footnoteReference w:id="5"/>
      </w:r>
      <w:r w:rsidRPr="00F44B95">
        <w:rPr>
          <w:lang w:val="en-US"/>
        </w:rPr>
        <w:t xml:space="preserve"> It is possible to find examples of reconciliation and meditation attempts in </w:t>
      </w:r>
      <w:r>
        <w:rPr>
          <w:lang w:val="en-US"/>
        </w:rPr>
        <w:t>cases</w:t>
      </w:r>
      <w:r w:rsidRPr="00F44B95">
        <w:rPr>
          <w:lang w:val="en-US"/>
        </w:rPr>
        <w:t xml:space="preserve"> of violence against women in the media</w:t>
      </w:r>
      <w:r>
        <w:rPr>
          <w:lang w:val="en-US"/>
        </w:rPr>
        <w:t>;</w:t>
      </w:r>
      <w:r w:rsidRPr="00F44B95">
        <w:rPr>
          <w:lang w:val="en-US"/>
        </w:rPr>
        <w:t xml:space="preserve"> however, an even more disconcerting development is the proposal in a report published by the Supreme Council of Judges and Public Prosecutors to address domestic violence as a crime prosecuted upon complaint in the context of the relevant </w:t>
      </w:r>
      <w:r>
        <w:rPr>
          <w:lang w:val="en-US"/>
        </w:rPr>
        <w:t>article of the Turkish Penal Code</w:t>
      </w:r>
      <w:r w:rsidRPr="00F44B95">
        <w:rPr>
          <w:lang w:val="en-US"/>
        </w:rPr>
        <w:t>.</w:t>
      </w:r>
      <w:r w:rsidRPr="00F44B95">
        <w:rPr>
          <w:rStyle w:val="DipnotBavurusu"/>
          <w:lang w:val="en-US"/>
        </w:rPr>
        <w:t xml:space="preserve"> </w:t>
      </w:r>
      <w:r w:rsidRPr="00B17E9A">
        <w:rPr>
          <w:rStyle w:val="DipnotBavurusu"/>
          <w:lang w:val="en-US"/>
        </w:rPr>
        <w:footnoteReference w:id="6"/>
      </w:r>
      <w:r w:rsidRPr="00F44B95">
        <w:rPr>
          <w:lang w:val="en-US"/>
        </w:rPr>
        <w:t xml:space="preserve"> </w:t>
      </w:r>
    </w:p>
    <w:p w:rsidR="002B70B1" w:rsidRDefault="002B70B1" w:rsidP="002B70B1">
      <w:pPr>
        <w:pStyle w:val="ListeParagraf"/>
        <w:spacing w:after="0"/>
        <w:ind w:firstLine="0"/>
        <w:rPr>
          <w:lang w:val="en-US"/>
        </w:rPr>
      </w:pPr>
    </w:p>
    <w:p w:rsidR="002B70B1" w:rsidRDefault="002B70B1" w:rsidP="002B70B1">
      <w:pPr>
        <w:pStyle w:val="ListeParagraf"/>
        <w:numPr>
          <w:ilvl w:val="0"/>
          <w:numId w:val="1"/>
        </w:numPr>
        <w:spacing w:after="0"/>
        <w:rPr>
          <w:lang w:val="en-US"/>
        </w:rPr>
      </w:pPr>
      <w:r w:rsidRPr="00314F9A">
        <w:rPr>
          <w:lang w:val="en-US"/>
        </w:rPr>
        <w:t xml:space="preserve">The </w:t>
      </w:r>
      <w:r>
        <w:rPr>
          <w:lang w:val="en-US"/>
        </w:rPr>
        <w:t>jurisdiction</w:t>
      </w:r>
      <w:r w:rsidRPr="00314F9A">
        <w:rPr>
          <w:lang w:val="en-US"/>
        </w:rPr>
        <w:t xml:space="preserve"> of both </w:t>
      </w:r>
      <w:r w:rsidRPr="00396EA5">
        <w:rPr>
          <w:lang w:val="en-US"/>
        </w:rPr>
        <w:t>civilian authorities</w:t>
      </w:r>
      <w:r>
        <w:rPr>
          <w:lang w:val="en-US"/>
        </w:rPr>
        <w:t xml:space="preserve"> </w:t>
      </w:r>
      <w:r w:rsidRPr="00314F9A">
        <w:rPr>
          <w:lang w:val="en-US"/>
        </w:rPr>
        <w:t xml:space="preserve">and security forces </w:t>
      </w:r>
      <w:r>
        <w:rPr>
          <w:lang w:val="en-US"/>
        </w:rPr>
        <w:t>was</w:t>
      </w:r>
      <w:r w:rsidRPr="00314F9A">
        <w:rPr>
          <w:lang w:val="en-US"/>
        </w:rPr>
        <w:t xml:space="preserve"> left ambivalent</w:t>
      </w:r>
      <w:r>
        <w:rPr>
          <w:lang w:val="en-US"/>
        </w:rPr>
        <w:t>,</w:t>
      </w:r>
      <w:r w:rsidRPr="00314F9A">
        <w:rPr>
          <w:lang w:val="en-US"/>
        </w:rPr>
        <w:t xml:space="preserve"> with abstract definitions such as “appropriate measures” and “in cases where the delay is deemed </w:t>
      </w:r>
      <w:r>
        <w:rPr>
          <w:lang w:val="en-US"/>
        </w:rPr>
        <w:t>problematic</w:t>
      </w:r>
      <w:r w:rsidRPr="00314F9A">
        <w:rPr>
          <w:lang w:val="en-US"/>
        </w:rPr>
        <w:t>”.</w:t>
      </w:r>
      <w:r>
        <w:rPr>
          <w:lang w:val="en-US"/>
        </w:rPr>
        <w:t xml:space="preserve"> </w:t>
      </w:r>
      <w:r w:rsidRPr="00314F9A">
        <w:rPr>
          <w:lang w:val="en-US"/>
        </w:rPr>
        <w:t>For instance, during the drafting of th</w:t>
      </w:r>
      <w:r w:rsidR="008A5D0B">
        <w:rPr>
          <w:lang w:val="en-US"/>
        </w:rPr>
        <w:t>e present</w:t>
      </w:r>
      <w:r w:rsidRPr="00314F9A">
        <w:rPr>
          <w:lang w:val="en-US"/>
        </w:rPr>
        <w:t xml:space="preserve"> report</w:t>
      </w:r>
      <w:r>
        <w:rPr>
          <w:lang w:val="en-US"/>
        </w:rPr>
        <w:t>, on J</w:t>
      </w:r>
      <w:r w:rsidRPr="00314F9A">
        <w:rPr>
          <w:lang w:val="en-US"/>
        </w:rPr>
        <w:t>une 19, 2012, Mahm</w:t>
      </w:r>
      <w:r>
        <w:rPr>
          <w:lang w:val="en-US"/>
        </w:rPr>
        <w:t>ure Karakule</w:t>
      </w:r>
      <w:r w:rsidRPr="00314F9A">
        <w:rPr>
          <w:lang w:val="en-US"/>
        </w:rPr>
        <w:t xml:space="preserve"> was murdered at the </w:t>
      </w:r>
      <w:r>
        <w:rPr>
          <w:lang w:val="en-US"/>
        </w:rPr>
        <w:t>a</w:t>
      </w:r>
      <w:r w:rsidRPr="00314F9A">
        <w:rPr>
          <w:lang w:val="en-US"/>
        </w:rPr>
        <w:t>ge of 19 by her husband. She had been married when she was 13</w:t>
      </w:r>
      <w:r>
        <w:rPr>
          <w:lang w:val="en-US"/>
        </w:rPr>
        <w:t>,</w:t>
      </w:r>
      <w:r w:rsidRPr="00314F9A">
        <w:rPr>
          <w:lang w:val="en-US"/>
        </w:rPr>
        <w:t xml:space="preserve"> had two children</w:t>
      </w:r>
      <w:r>
        <w:rPr>
          <w:lang w:val="en-US"/>
        </w:rPr>
        <w:t xml:space="preserve"> aged </w:t>
      </w:r>
      <w:r w:rsidRPr="00314F9A">
        <w:rPr>
          <w:lang w:val="en-US"/>
        </w:rPr>
        <w:t xml:space="preserve">5 and </w:t>
      </w:r>
      <w:r>
        <w:rPr>
          <w:lang w:val="en-US"/>
        </w:rPr>
        <w:t>18 months, and was pregnant again when she was murdered</w:t>
      </w:r>
      <w:r w:rsidRPr="00314F9A">
        <w:rPr>
          <w:lang w:val="en-US"/>
        </w:rPr>
        <w:t xml:space="preserve">. She was constantly being subject to physical </w:t>
      </w:r>
      <w:r>
        <w:rPr>
          <w:lang w:val="en-US"/>
        </w:rPr>
        <w:t xml:space="preserve">domestic </w:t>
      </w:r>
      <w:r w:rsidRPr="00314F9A">
        <w:rPr>
          <w:lang w:val="en-US"/>
        </w:rPr>
        <w:t xml:space="preserve">violence. On the day she was killed, her neighbors called the police due to the husband’s </w:t>
      </w:r>
      <w:r>
        <w:rPr>
          <w:lang w:val="en-US"/>
        </w:rPr>
        <w:t>ongoing violence throughout the day</w:t>
      </w:r>
      <w:r w:rsidRPr="00314F9A">
        <w:rPr>
          <w:lang w:val="en-US"/>
        </w:rPr>
        <w:t>, but the police who came to the house left without any intervention.</w:t>
      </w:r>
      <w:r>
        <w:rPr>
          <w:lang w:val="en-US"/>
        </w:rPr>
        <w:t xml:space="preserve"> Later her husband aged 31 killed Mahmu</w:t>
      </w:r>
      <w:r w:rsidRPr="00314F9A">
        <w:rPr>
          <w:lang w:val="en-US"/>
        </w:rPr>
        <w:t>re</w:t>
      </w:r>
      <w:r>
        <w:rPr>
          <w:lang w:val="en-US"/>
        </w:rPr>
        <w:t>,</w:t>
      </w:r>
      <w:r w:rsidRPr="00314F9A">
        <w:rPr>
          <w:lang w:val="en-US"/>
        </w:rPr>
        <w:t xml:space="preserve"> stabbing her 47 times. The husband </w:t>
      </w:r>
      <w:r>
        <w:rPr>
          <w:lang w:val="en-US"/>
        </w:rPr>
        <w:t>indicated that he killed his wife because</w:t>
      </w:r>
      <w:r w:rsidRPr="00314F9A">
        <w:rPr>
          <w:lang w:val="en-US"/>
        </w:rPr>
        <w:t xml:space="preserve"> she </w:t>
      </w:r>
      <w:r>
        <w:rPr>
          <w:lang w:val="en-US"/>
        </w:rPr>
        <w:t>d</w:t>
      </w:r>
      <w:r w:rsidRPr="00314F9A">
        <w:rPr>
          <w:lang w:val="en-US"/>
        </w:rPr>
        <w:t>id</w:t>
      </w:r>
      <w:r>
        <w:rPr>
          <w:lang w:val="en-US"/>
        </w:rPr>
        <w:t xml:space="preserve"> not cook the meal</w:t>
      </w:r>
      <w:r w:rsidRPr="00314F9A">
        <w:rPr>
          <w:lang w:val="en-US"/>
        </w:rPr>
        <w:t xml:space="preserve"> he requested</w:t>
      </w:r>
      <w:r>
        <w:rPr>
          <w:lang w:val="en-US"/>
        </w:rPr>
        <w:t>;</w:t>
      </w:r>
      <w:r w:rsidRPr="00314F9A">
        <w:rPr>
          <w:lang w:val="en-US"/>
        </w:rPr>
        <w:t xml:space="preserve"> the police </w:t>
      </w:r>
      <w:r>
        <w:rPr>
          <w:lang w:val="en-US"/>
        </w:rPr>
        <w:t xml:space="preserve">attempted to </w:t>
      </w:r>
      <w:r w:rsidRPr="00314F9A">
        <w:rPr>
          <w:lang w:val="en-US"/>
        </w:rPr>
        <w:t>j</w:t>
      </w:r>
      <w:r>
        <w:rPr>
          <w:lang w:val="en-US"/>
        </w:rPr>
        <w:t>ustify th</w:t>
      </w:r>
      <w:r w:rsidRPr="00314F9A">
        <w:rPr>
          <w:lang w:val="en-US"/>
        </w:rPr>
        <w:t>e</w:t>
      </w:r>
      <w:r>
        <w:rPr>
          <w:lang w:val="en-US"/>
        </w:rPr>
        <w:t>i</w:t>
      </w:r>
      <w:r w:rsidRPr="00314F9A">
        <w:rPr>
          <w:lang w:val="en-US"/>
        </w:rPr>
        <w:t>r failure to interve</w:t>
      </w:r>
      <w:r>
        <w:rPr>
          <w:lang w:val="en-US"/>
        </w:rPr>
        <w:t>ne</w:t>
      </w:r>
      <w:r w:rsidRPr="00314F9A">
        <w:rPr>
          <w:lang w:val="en-US"/>
        </w:rPr>
        <w:t xml:space="preserve"> by saying Mahmure did not report the violence and did not request protection.</w:t>
      </w:r>
      <w:r w:rsidRPr="00B17E9A">
        <w:rPr>
          <w:rStyle w:val="DipnotBavurusu"/>
          <w:lang w:val="en-US"/>
        </w:rPr>
        <w:footnoteReference w:id="7"/>
      </w:r>
      <w:r w:rsidRPr="00314F9A">
        <w:rPr>
          <w:lang w:val="en-US"/>
        </w:rPr>
        <w:t xml:space="preserve"> </w:t>
      </w:r>
      <w:r>
        <w:rPr>
          <w:lang w:val="en-US"/>
        </w:rPr>
        <w:t xml:space="preserve">Research conducted throughout Turkey with a representative sample </w:t>
      </w:r>
      <w:r w:rsidRPr="00314F9A">
        <w:rPr>
          <w:lang w:val="en-US"/>
        </w:rPr>
        <w:t>indicates that the rate of child</w:t>
      </w:r>
      <w:r>
        <w:rPr>
          <w:lang w:val="en-US"/>
        </w:rPr>
        <w:t xml:space="preserve"> </w:t>
      </w:r>
      <w:r w:rsidRPr="00314F9A">
        <w:rPr>
          <w:lang w:val="en-US"/>
        </w:rPr>
        <w:t>brides (</w:t>
      </w:r>
      <w:r>
        <w:rPr>
          <w:lang w:val="en-US"/>
        </w:rPr>
        <w:t xml:space="preserve">early </w:t>
      </w:r>
      <w:r w:rsidRPr="00314F9A">
        <w:rPr>
          <w:lang w:val="en-US"/>
        </w:rPr>
        <w:t>marri</w:t>
      </w:r>
      <w:r>
        <w:rPr>
          <w:lang w:val="en-US"/>
        </w:rPr>
        <w:t>age u</w:t>
      </w:r>
      <w:r w:rsidRPr="00314F9A">
        <w:rPr>
          <w:lang w:val="en-US"/>
        </w:rPr>
        <w:t xml:space="preserve">nder the age of 18) is </w:t>
      </w:r>
      <w:r>
        <w:rPr>
          <w:lang w:val="en-US"/>
        </w:rPr>
        <w:t xml:space="preserve">as high as </w:t>
      </w:r>
      <w:r w:rsidRPr="00314F9A">
        <w:rPr>
          <w:lang w:val="en-US"/>
        </w:rPr>
        <w:t>40%.</w:t>
      </w:r>
      <w:r w:rsidRPr="00B17E9A">
        <w:rPr>
          <w:rStyle w:val="DipnotBavurusu"/>
          <w:lang w:val="en-US"/>
        </w:rPr>
        <w:footnoteReference w:id="8"/>
      </w:r>
      <w:r w:rsidRPr="00314F9A">
        <w:rPr>
          <w:lang w:val="en-US"/>
        </w:rPr>
        <w:t xml:space="preserve"> Considering the fact that </w:t>
      </w:r>
      <w:r>
        <w:rPr>
          <w:lang w:val="en-US"/>
        </w:rPr>
        <w:t>every</w:t>
      </w:r>
      <w:r w:rsidRPr="00314F9A">
        <w:rPr>
          <w:lang w:val="en-US"/>
        </w:rPr>
        <w:t xml:space="preserve"> day at least two women are killed with </w:t>
      </w:r>
      <w:r>
        <w:rPr>
          <w:lang w:val="en-US"/>
        </w:rPr>
        <w:t>flimsy</w:t>
      </w:r>
      <w:r w:rsidRPr="00314F9A">
        <w:rPr>
          <w:lang w:val="en-US"/>
        </w:rPr>
        <w:t xml:space="preserve"> excuses in Turkey, we </w:t>
      </w:r>
      <w:r>
        <w:rPr>
          <w:lang w:val="en-US"/>
        </w:rPr>
        <w:t>must</w:t>
      </w:r>
      <w:r w:rsidRPr="00314F9A">
        <w:rPr>
          <w:lang w:val="en-US"/>
        </w:rPr>
        <w:t xml:space="preserve"> strongly reemphasize that any shor</w:t>
      </w:r>
      <w:r>
        <w:rPr>
          <w:lang w:val="en-US"/>
        </w:rPr>
        <w:t>tcomin</w:t>
      </w:r>
      <w:r w:rsidRPr="00314F9A">
        <w:rPr>
          <w:lang w:val="en-US"/>
        </w:rPr>
        <w:t xml:space="preserve">g, loophole or ambiguity </w:t>
      </w:r>
      <w:r>
        <w:rPr>
          <w:lang w:val="en-US"/>
        </w:rPr>
        <w:t>in the law costs women’s lives.</w:t>
      </w:r>
    </w:p>
    <w:p w:rsidR="002B70B1" w:rsidRPr="005A4074" w:rsidRDefault="002B70B1" w:rsidP="002B70B1">
      <w:pPr>
        <w:pStyle w:val="ListeParagraf"/>
        <w:spacing w:after="0"/>
        <w:ind w:firstLine="0"/>
        <w:rPr>
          <w:lang w:val="en-US"/>
        </w:rPr>
      </w:pPr>
    </w:p>
    <w:p w:rsidR="002B70B1" w:rsidRDefault="002B70B1" w:rsidP="002B70B1">
      <w:pPr>
        <w:pStyle w:val="ListeParagraf"/>
        <w:numPr>
          <w:ilvl w:val="0"/>
          <w:numId w:val="1"/>
        </w:numPr>
        <w:spacing w:after="0"/>
        <w:rPr>
          <w:lang w:val="en-US"/>
        </w:rPr>
      </w:pPr>
      <w:r w:rsidRPr="0078412A">
        <w:rPr>
          <w:lang w:val="en-US"/>
        </w:rPr>
        <w:t xml:space="preserve">Even in cases where </w:t>
      </w:r>
      <w:r>
        <w:rPr>
          <w:lang w:val="en-US"/>
        </w:rPr>
        <w:t>a</w:t>
      </w:r>
      <w:r w:rsidRPr="0078412A">
        <w:rPr>
          <w:lang w:val="en-US"/>
        </w:rPr>
        <w:t xml:space="preserve"> protection order is issued, it often falls short of ensuring security of women due to shortcomings in implementation. In cases of complaints of violations of the order, the judiciary falls short </w:t>
      </w:r>
      <w:r>
        <w:rPr>
          <w:lang w:val="en-US"/>
        </w:rPr>
        <w:t>in</w:t>
      </w:r>
      <w:r w:rsidRPr="0078412A">
        <w:rPr>
          <w:lang w:val="en-US"/>
        </w:rPr>
        <w:t xml:space="preserve"> meeting the mandate of the law. The prosecution process remains lengthy, sometimes concluding </w:t>
      </w:r>
      <w:r>
        <w:rPr>
          <w:lang w:val="en-US"/>
        </w:rPr>
        <w:t xml:space="preserve">only </w:t>
      </w:r>
      <w:r w:rsidRPr="0078412A">
        <w:rPr>
          <w:lang w:val="en-US"/>
        </w:rPr>
        <w:t>after the restraining order has expired. Even though the new law has been in effect since March 2012, no conviction of violations has been reported in the media.</w:t>
      </w:r>
    </w:p>
    <w:p w:rsidR="002B70B1" w:rsidRPr="002B70B1" w:rsidRDefault="002B70B1" w:rsidP="002B70B1">
      <w:pPr>
        <w:spacing w:after="0"/>
        <w:rPr>
          <w:lang w:val="en-US"/>
        </w:rPr>
      </w:pPr>
    </w:p>
    <w:p w:rsidR="002B70B1" w:rsidRDefault="002B70B1" w:rsidP="002B70B1">
      <w:pPr>
        <w:pStyle w:val="ListeParagraf"/>
        <w:numPr>
          <w:ilvl w:val="0"/>
          <w:numId w:val="1"/>
        </w:numPr>
        <w:spacing w:after="0"/>
        <w:rPr>
          <w:lang w:val="en-US"/>
        </w:rPr>
      </w:pPr>
      <w:r w:rsidRPr="003C7771">
        <w:rPr>
          <w:lang w:val="en-US"/>
        </w:rPr>
        <w:t>While it is essential that court officials who make decisions on violence against women should receive on</w:t>
      </w:r>
      <w:r>
        <w:rPr>
          <w:lang w:val="en-US"/>
        </w:rPr>
        <w:t>-</w:t>
      </w:r>
      <w:r w:rsidRPr="003C7771">
        <w:rPr>
          <w:lang w:val="en-US"/>
        </w:rPr>
        <w:t>the</w:t>
      </w:r>
      <w:r>
        <w:rPr>
          <w:lang w:val="en-US"/>
        </w:rPr>
        <w:t>-</w:t>
      </w:r>
      <w:r w:rsidRPr="003C7771">
        <w:rPr>
          <w:lang w:val="en-US"/>
        </w:rPr>
        <w:t xml:space="preserve">job training and those who are studying law should </w:t>
      </w:r>
      <w:r>
        <w:rPr>
          <w:lang w:val="en-US"/>
        </w:rPr>
        <w:t xml:space="preserve">receive credible information about </w:t>
      </w:r>
      <w:r w:rsidRPr="003C7771">
        <w:rPr>
          <w:lang w:val="en-US"/>
        </w:rPr>
        <w:t xml:space="preserve">gender equality, CEDAW and violence as part of their university curriculum, the law in question introduces </w:t>
      </w:r>
      <w:r>
        <w:rPr>
          <w:lang w:val="en-US"/>
        </w:rPr>
        <w:t xml:space="preserve">neither </w:t>
      </w:r>
      <w:r w:rsidRPr="003C7771">
        <w:rPr>
          <w:lang w:val="en-US"/>
        </w:rPr>
        <w:t xml:space="preserve">mandatory training nor an initiative to include the relevant curricula in law faculties under the Council of Higher Education. </w:t>
      </w:r>
    </w:p>
    <w:p w:rsidR="002B70B1" w:rsidRDefault="002B70B1" w:rsidP="002B70B1">
      <w:pPr>
        <w:pStyle w:val="ListeParagraf"/>
        <w:numPr>
          <w:ilvl w:val="0"/>
          <w:numId w:val="1"/>
        </w:numPr>
        <w:spacing w:after="0"/>
        <w:rPr>
          <w:lang w:val="en-US"/>
        </w:rPr>
      </w:pPr>
      <w:r w:rsidRPr="003C7771">
        <w:rPr>
          <w:lang w:val="en-US"/>
        </w:rPr>
        <w:lastRenderedPageBreak/>
        <w:t>The establishment, organization, staff a</w:t>
      </w:r>
      <w:r>
        <w:rPr>
          <w:lang w:val="en-US"/>
        </w:rPr>
        <w:t>n</w:t>
      </w:r>
      <w:r w:rsidRPr="003C7771">
        <w:rPr>
          <w:lang w:val="en-US"/>
        </w:rPr>
        <w:t>d timeline of the “violence monitoring and prevention centers”</w:t>
      </w:r>
      <w:r>
        <w:rPr>
          <w:lang w:val="en-US"/>
        </w:rPr>
        <w:t>, a novel structure in the law,</w:t>
      </w:r>
      <w:r w:rsidRPr="003C7771">
        <w:rPr>
          <w:lang w:val="en-US"/>
        </w:rPr>
        <w:t xml:space="preserve"> was left up in the air without specification. </w:t>
      </w:r>
      <w:r>
        <w:rPr>
          <w:lang w:val="en-US"/>
        </w:rPr>
        <w:t>Although</w:t>
      </w:r>
      <w:r w:rsidRPr="003C7771">
        <w:rPr>
          <w:lang w:val="en-US"/>
        </w:rPr>
        <w:t xml:space="preserve"> it was imperative that </w:t>
      </w:r>
      <w:r>
        <w:rPr>
          <w:lang w:val="en-US"/>
        </w:rPr>
        <w:t>the</w:t>
      </w:r>
      <w:r w:rsidRPr="003C7771">
        <w:rPr>
          <w:lang w:val="en-US"/>
        </w:rPr>
        <w:t xml:space="preserve"> centers we demanded operate </w:t>
      </w:r>
      <w:r>
        <w:rPr>
          <w:lang w:val="en-US"/>
        </w:rPr>
        <w:t xml:space="preserve">24 hours per day, 7 days per week, </w:t>
      </w:r>
      <w:r w:rsidRPr="003C7771">
        <w:rPr>
          <w:lang w:val="en-US"/>
        </w:rPr>
        <w:t>with a one</w:t>
      </w:r>
      <w:r>
        <w:rPr>
          <w:lang w:val="en-US"/>
        </w:rPr>
        <w:t>-</w:t>
      </w:r>
      <w:r w:rsidRPr="003C7771">
        <w:rPr>
          <w:lang w:val="en-US"/>
        </w:rPr>
        <w:t>door system established immediately</w:t>
      </w:r>
      <w:r>
        <w:rPr>
          <w:lang w:val="en-US"/>
        </w:rPr>
        <w:t>,</w:t>
      </w:r>
      <w:r w:rsidRPr="003C7771">
        <w:rPr>
          <w:lang w:val="en-US"/>
        </w:rPr>
        <w:t xml:space="preserve"> the law foresees that these centers be established over the course of two years</w:t>
      </w:r>
      <w:r>
        <w:rPr>
          <w:lang w:val="en-US"/>
        </w:rPr>
        <w:t>,</w:t>
      </w:r>
      <w:r w:rsidRPr="003C7771">
        <w:rPr>
          <w:lang w:val="en-US"/>
        </w:rPr>
        <w:t xml:space="preserve"> </w:t>
      </w:r>
      <w:r>
        <w:rPr>
          <w:lang w:val="en-US"/>
        </w:rPr>
        <w:t xml:space="preserve">only </w:t>
      </w:r>
      <w:r w:rsidRPr="003C7771">
        <w:rPr>
          <w:lang w:val="en-US"/>
        </w:rPr>
        <w:t xml:space="preserve">as a pilot project. Furthermore, the centers of the General Directorate of Social Services, which in the past used to provide counseling and shelter services for women </w:t>
      </w:r>
      <w:r>
        <w:rPr>
          <w:lang w:val="en-US"/>
        </w:rPr>
        <w:t>subjected to violence,</w:t>
      </w:r>
      <w:r w:rsidRPr="003C7771">
        <w:rPr>
          <w:lang w:val="en-US"/>
        </w:rPr>
        <w:t xml:space="preserve"> have been closed down</w:t>
      </w:r>
      <w:r>
        <w:rPr>
          <w:lang w:val="en-US"/>
        </w:rPr>
        <w:t>,</w:t>
      </w:r>
      <w:r w:rsidRPr="003C7771">
        <w:rPr>
          <w:lang w:val="en-US"/>
        </w:rPr>
        <w:t xml:space="preserve"> and </w:t>
      </w:r>
      <w:r>
        <w:rPr>
          <w:lang w:val="en-US"/>
        </w:rPr>
        <w:t xml:space="preserve">the </w:t>
      </w:r>
      <w:r w:rsidRPr="003C7771">
        <w:rPr>
          <w:lang w:val="en-US"/>
        </w:rPr>
        <w:t>staff</w:t>
      </w:r>
      <w:r>
        <w:rPr>
          <w:lang w:val="en-US"/>
        </w:rPr>
        <w:t>,</w:t>
      </w:r>
      <w:r w:rsidRPr="003C7771">
        <w:rPr>
          <w:lang w:val="en-US"/>
        </w:rPr>
        <w:t xml:space="preserve"> who had accumulated knowledge and experience in the field</w:t>
      </w:r>
      <w:r>
        <w:rPr>
          <w:lang w:val="en-US"/>
        </w:rPr>
        <w:t>,</w:t>
      </w:r>
      <w:r w:rsidRPr="003C7771">
        <w:rPr>
          <w:lang w:val="en-US"/>
        </w:rPr>
        <w:t xml:space="preserve"> have been appointed to other posts. The unsystematic dissolution of the already insufficient personnel </w:t>
      </w:r>
      <w:r>
        <w:rPr>
          <w:lang w:val="en-US"/>
        </w:rPr>
        <w:t xml:space="preserve">into </w:t>
      </w:r>
      <w:r w:rsidRPr="003C7771">
        <w:rPr>
          <w:lang w:val="en-US"/>
        </w:rPr>
        <w:t>a restructur</w:t>
      </w:r>
      <w:r>
        <w:rPr>
          <w:lang w:val="en-US"/>
        </w:rPr>
        <w:t>ed</w:t>
      </w:r>
      <w:r w:rsidRPr="003C7771">
        <w:rPr>
          <w:lang w:val="en-US"/>
        </w:rPr>
        <w:t xml:space="preserve"> </w:t>
      </w:r>
      <w:r>
        <w:rPr>
          <w:lang w:val="en-US"/>
        </w:rPr>
        <w:t xml:space="preserve">organization </w:t>
      </w:r>
      <w:r w:rsidRPr="003C7771">
        <w:rPr>
          <w:lang w:val="en-US"/>
        </w:rPr>
        <w:t>without necessary infrastructure remains a worrisome development.</w:t>
      </w:r>
    </w:p>
    <w:p w:rsidR="002B70B1" w:rsidRPr="003C7771" w:rsidRDefault="002B70B1" w:rsidP="002B70B1">
      <w:pPr>
        <w:pStyle w:val="ListeParagraf"/>
        <w:spacing w:after="0"/>
        <w:ind w:firstLine="0"/>
        <w:rPr>
          <w:lang w:val="en-US"/>
        </w:rPr>
      </w:pPr>
    </w:p>
    <w:p w:rsidR="002B70B1" w:rsidRDefault="002B70B1" w:rsidP="002B70B1">
      <w:pPr>
        <w:pStyle w:val="ListeParagraf"/>
        <w:numPr>
          <w:ilvl w:val="0"/>
          <w:numId w:val="1"/>
        </w:numPr>
        <w:spacing w:after="0"/>
        <w:rPr>
          <w:lang w:val="en-US"/>
        </w:rPr>
      </w:pPr>
      <w:r>
        <w:rPr>
          <w:lang w:val="en-US"/>
        </w:rPr>
        <w:t xml:space="preserve">Women’s organizations’ appeal to act as intervening parties in the cases of </w:t>
      </w:r>
      <w:r w:rsidRPr="00B17E9A">
        <w:rPr>
          <w:lang w:val="en-US"/>
        </w:rPr>
        <w:t xml:space="preserve">violence against women and </w:t>
      </w:r>
      <w:r w:rsidR="001F78C4">
        <w:rPr>
          <w:lang w:val="en-US"/>
        </w:rPr>
        <w:t>femicide cases</w:t>
      </w:r>
      <w:r>
        <w:rPr>
          <w:lang w:val="en-US"/>
        </w:rPr>
        <w:t xml:space="preserve"> was denied. I</w:t>
      </w:r>
      <w:r w:rsidRPr="00B17E9A">
        <w:rPr>
          <w:lang w:val="en-US"/>
        </w:rPr>
        <w:t>nstead</w:t>
      </w:r>
      <w:r>
        <w:rPr>
          <w:lang w:val="en-US"/>
        </w:rPr>
        <w:t>,</w:t>
      </w:r>
      <w:r w:rsidRPr="00B17E9A">
        <w:rPr>
          <w:lang w:val="en-US"/>
        </w:rPr>
        <w:t xml:space="preserve"> the Ministry of Family and Social </w:t>
      </w:r>
      <w:r>
        <w:rPr>
          <w:lang w:val="en-US"/>
        </w:rPr>
        <w:t>Policy has been designated the intervening party. The rejection of women’s organizations’ demand for intervention implies the forestalling of appeals as well as the application to international courts of femicide cases.</w:t>
      </w:r>
    </w:p>
    <w:p w:rsidR="002B70B1" w:rsidRPr="002B70B1" w:rsidRDefault="002B70B1" w:rsidP="002B70B1">
      <w:pPr>
        <w:spacing w:after="0"/>
        <w:rPr>
          <w:lang w:val="en-US"/>
        </w:rPr>
      </w:pPr>
    </w:p>
    <w:p w:rsidR="002B70B1" w:rsidRDefault="002B70B1" w:rsidP="002B70B1">
      <w:pPr>
        <w:pStyle w:val="ListeParagraf"/>
        <w:numPr>
          <w:ilvl w:val="0"/>
          <w:numId w:val="1"/>
        </w:numPr>
        <w:spacing w:after="0"/>
        <w:rPr>
          <w:lang w:val="en-US"/>
        </w:rPr>
      </w:pPr>
      <w:r w:rsidRPr="00B17E9A">
        <w:rPr>
          <w:lang w:val="en-US"/>
        </w:rPr>
        <w:t xml:space="preserve">Our proposal for </w:t>
      </w:r>
      <w:r>
        <w:rPr>
          <w:lang w:val="en-US"/>
        </w:rPr>
        <w:t xml:space="preserve">an indefinite protection order </w:t>
      </w:r>
      <w:r w:rsidRPr="00B17E9A">
        <w:rPr>
          <w:lang w:val="en-US"/>
        </w:rPr>
        <w:t xml:space="preserve">was not included in the law. </w:t>
      </w:r>
      <w:r>
        <w:rPr>
          <w:lang w:val="en-US"/>
        </w:rPr>
        <w:t>Currently, the protection order is issued for only a limited amount of time, and the aggrieved party must reapply to renew the order at the end of the term</w:t>
      </w:r>
      <w:r w:rsidRPr="00B17E9A">
        <w:rPr>
          <w:lang w:val="en-US"/>
        </w:rPr>
        <w:t xml:space="preserve">. </w:t>
      </w:r>
    </w:p>
    <w:p w:rsidR="002B70B1" w:rsidRPr="00B17E9A" w:rsidRDefault="002B70B1" w:rsidP="002B70B1">
      <w:pPr>
        <w:pStyle w:val="ListeParagraf"/>
        <w:spacing w:after="0"/>
        <w:ind w:firstLine="0"/>
        <w:rPr>
          <w:lang w:val="en-US"/>
        </w:rPr>
      </w:pPr>
    </w:p>
    <w:p w:rsidR="002B70B1" w:rsidRDefault="002B70B1" w:rsidP="002B70B1">
      <w:pPr>
        <w:pStyle w:val="ListeParagraf"/>
        <w:numPr>
          <w:ilvl w:val="0"/>
          <w:numId w:val="1"/>
        </w:numPr>
        <w:spacing w:after="0"/>
        <w:rPr>
          <w:lang w:val="en-US"/>
        </w:rPr>
      </w:pPr>
      <w:r w:rsidRPr="00396EA5">
        <w:rPr>
          <w:lang w:val="en-US"/>
        </w:rPr>
        <w:t xml:space="preserve">The childcare support for women who obtain a protection order was limited to </w:t>
      </w:r>
      <w:r>
        <w:rPr>
          <w:lang w:val="en-US"/>
        </w:rPr>
        <w:t xml:space="preserve">only </w:t>
      </w:r>
      <w:r w:rsidRPr="00396EA5">
        <w:rPr>
          <w:lang w:val="en-US"/>
        </w:rPr>
        <w:t xml:space="preserve">a brief period. Since there is no obligation for workplaces with fewer than 150 women employees to open daycare centers, childcare remains an important obstacle </w:t>
      </w:r>
      <w:r>
        <w:rPr>
          <w:lang w:val="en-US"/>
        </w:rPr>
        <w:t>for</w:t>
      </w:r>
      <w:r w:rsidRPr="00396EA5">
        <w:rPr>
          <w:lang w:val="en-US"/>
        </w:rPr>
        <w:t xml:space="preserve"> women who have been subject to violence as they strive to start a new life by participating in work life. </w:t>
      </w:r>
      <w:r>
        <w:rPr>
          <w:lang w:val="en-US"/>
        </w:rPr>
        <w:t>Thus,</w:t>
      </w:r>
      <w:r w:rsidRPr="00396EA5">
        <w:rPr>
          <w:lang w:val="en-US"/>
        </w:rPr>
        <w:t xml:space="preserve"> many women are forced to return to the house where they were subject to violence.</w:t>
      </w:r>
    </w:p>
    <w:p w:rsidR="002B70B1" w:rsidRPr="002B70B1" w:rsidRDefault="002B70B1" w:rsidP="002B70B1">
      <w:pPr>
        <w:pStyle w:val="ListeParagraf"/>
        <w:rPr>
          <w:lang w:val="en-US"/>
        </w:rPr>
      </w:pPr>
    </w:p>
    <w:p w:rsidR="002B70B1" w:rsidRDefault="002B70B1" w:rsidP="002B70B1">
      <w:pPr>
        <w:pStyle w:val="ListeParagraf"/>
        <w:numPr>
          <w:ilvl w:val="0"/>
          <w:numId w:val="1"/>
        </w:numPr>
        <w:spacing w:after="0"/>
        <w:rPr>
          <w:lang w:val="en-US"/>
        </w:rPr>
      </w:pPr>
      <w:r w:rsidRPr="002B70B1">
        <w:rPr>
          <w:lang w:val="en-US"/>
        </w:rPr>
        <w:t>Even though the Law on the Protection of the Family and the Prevention of Violence against Women seems to bring many innovations on paper, there are numerous problems in implementation. For instance, one of the most substantial issues for concern is that civilian authorities, who are ascribed with a great deal of responsibility by law, remain unknowledgeable about the issue, and women who apply to these authorities cannot benefit completely from their legal rights. Furthermore, the fact that women’s applications for temporary financial support from district governorships are rejected due to place of residency issues while they stay at a shelter signifies that the pledged economic support is not, in reality, provided. Additionally, it has been observed that relevant judicial units and security forces still violate a number of principles, in particular that of confidentiality.</w:t>
      </w:r>
    </w:p>
    <w:p w:rsidR="002B70B1" w:rsidRPr="002B70B1" w:rsidRDefault="002B70B1" w:rsidP="002B70B1">
      <w:pPr>
        <w:spacing w:after="0"/>
        <w:rPr>
          <w:lang w:val="en-US"/>
        </w:rPr>
      </w:pPr>
    </w:p>
    <w:p w:rsidR="002B70B1" w:rsidRDefault="002B70B1" w:rsidP="002B70B1">
      <w:pPr>
        <w:pStyle w:val="ListeParagraf"/>
        <w:numPr>
          <w:ilvl w:val="0"/>
          <w:numId w:val="1"/>
        </w:numPr>
        <w:spacing w:after="0"/>
        <w:rPr>
          <w:lang w:val="en-US"/>
        </w:rPr>
      </w:pPr>
      <w:r>
        <w:rPr>
          <w:lang w:val="en-US"/>
        </w:rPr>
        <w:t xml:space="preserve">According to Municipal </w:t>
      </w:r>
      <w:r w:rsidRPr="00F866D0">
        <w:rPr>
          <w:lang w:val="en-US"/>
        </w:rPr>
        <w:t>Law no.</w:t>
      </w:r>
      <w:r>
        <w:rPr>
          <w:lang w:val="en-US"/>
        </w:rPr>
        <w:t xml:space="preserve"> </w:t>
      </w:r>
      <w:r w:rsidRPr="00F866D0">
        <w:rPr>
          <w:lang w:val="en-US"/>
        </w:rPr>
        <w:t>5393</w:t>
      </w:r>
      <w:r>
        <w:rPr>
          <w:lang w:val="en-US"/>
        </w:rPr>
        <w:t>,</w:t>
      </w:r>
      <w:r w:rsidRPr="00F866D0">
        <w:rPr>
          <w:lang w:val="en-US"/>
        </w:rPr>
        <w:t xml:space="preserve"> dated 2005 (article 14.a)</w:t>
      </w:r>
      <w:r>
        <w:rPr>
          <w:lang w:val="en-US"/>
        </w:rPr>
        <w:t>,</w:t>
      </w:r>
      <w:r w:rsidRPr="00F866D0">
        <w:rPr>
          <w:lang w:val="en-US"/>
        </w:rPr>
        <w:t xml:space="preserve"> municipalities with a population over 50000 are required to open a shelter. According to </w:t>
      </w:r>
      <w:r>
        <w:rPr>
          <w:lang w:val="en-US"/>
        </w:rPr>
        <w:t xml:space="preserve">the straightforward reading of </w:t>
      </w:r>
      <w:r w:rsidRPr="00F866D0">
        <w:rPr>
          <w:lang w:val="en-US"/>
        </w:rPr>
        <w:t>th</w:t>
      </w:r>
      <w:r>
        <w:rPr>
          <w:lang w:val="en-US"/>
        </w:rPr>
        <w:t>e law</w:t>
      </w:r>
      <w:r w:rsidRPr="00F866D0">
        <w:rPr>
          <w:lang w:val="en-US"/>
        </w:rPr>
        <w:t xml:space="preserve">, there should have been at least </w:t>
      </w:r>
      <w:r>
        <w:rPr>
          <w:lang w:val="en-US"/>
        </w:rPr>
        <w:t xml:space="preserve">197 </w:t>
      </w:r>
      <w:r w:rsidRPr="00F866D0">
        <w:rPr>
          <w:lang w:val="en-US"/>
        </w:rPr>
        <w:t>shelter</w:t>
      </w:r>
      <w:r>
        <w:rPr>
          <w:lang w:val="en-US"/>
        </w:rPr>
        <w:t>s</w:t>
      </w:r>
      <w:r w:rsidRPr="00F866D0">
        <w:rPr>
          <w:lang w:val="en-US"/>
        </w:rPr>
        <w:t xml:space="preserve">, and according to </w:t>
      </w:r>
      <w:r>
        <w:rPr>
          <w:lang w:val="en-US"/>
        </w:rPr>
        <w:t>the EU</w:t>
      </w:r>
      <w:r w:rsidRPr="00F866D0">
        <w:rPr>
          <w:lang w:val="en-US"/>
        </w:rPr>
        <w:t xml:space="preserve"> </w:t>
      </w:r>
      <w:r w:rsidRPr="00F866D0">
        <w:rPr>
          <w:lang w:val="en-US"/>
        </w:rPr>
        <w:lastRenderedPageBreak/>
        <w:t xml:space="preserve">standards </w:t>
      </w:r>
      <w:r w:rsidR="001F78C4">
        <w:rPr>
          <w:lang w:val="en-US"/>
        </w:rPr>
        <w:t>(one place</w:t>
      </w:r>
      <w:r>
        <w:rPr>
          <w:lang w:val="en-US"/>
        </w:rPr>
        <w:t xml:space="preserve"> for 7500 </w:t>
      </w:r>
      <w:r w:rsidR="00604CC0">
        <w:rPr>
          <w:lang w:val="en-US"/>
        </w:rPr>
        <w:t xml:space="preserve">of the </w:t>
      </w:r>
      <w:r w:rsidR="001F78C4">
        <w:rPr>
          <w:lang w:val="en-US"/>
        </w:rPr>
        <w:t>population to</w:t>
      </w:r>
      <w:r w:rsidR="00604CC0">
        <w:rPr>
          <w:lang w:val="en-US"/>
        </w:rPr>
        <w:t xml:space="preserve"> 10000 of the population</w:t>
      </w:r>
      <w:r>
        <w:rPr>
          <w:lang w:val="en-US"/>
        </w:rPr>
        <w:t>)</w:t>
      </w:r>
      <w:r w:rsidR="00604CC0">
        <w:rPr>
          <w:rStyle w:val="DipnotBavurusu"/>
          <w:lang w:val="en-US"/>
        </w:rPr>
        <w:footnoteReference w:id="9"/>
      </w:r>
      <w:r>
        <w:rPr>
          <w:lang w:val="en-US"/>
        </w:rPr>
        <w:t xml:space="preserve"> </w:t>
      </w:r>
      <w:r w:rsidRPr="00F866D0">
        <w:rPr>
          <w:lang w:val="en-US"/>
        </w:rPr>
        <w:t xml:space="preserve">there should </w:t>
      </w:r>
      <w:r>
        <w:rPr>
          <w:lang w:val="en-US"/>
        </w:rPr>
        <w:t>be</w:t>
      </w:r>
      <w:r w:rsidRPr="00F866D0">
        <w:rPr>
          <w:lang w:val="en-US"/>
        </w:rPr>
        <w:t xml:space="preserve"> </w:t>
      </w:r>
      <w:r>
        <w:rPr>
          <w:lang w:val="en-US"/>
        </w:rPr>
        <w:t xml:space="preserve">approximately </w:t>
      </w:r>
      <w:r w:rsidRPr="00F866D0">
        <w:rPr>
          <w:lang w:val="en-US"/>
        </w:rPr>
        <w:t xml:space="preserve">9000 shelters </w:t>
      </w:r>
      <w:r w:rsidR="00604CC0">
        <w:rPr>
          <w:lang w:val="en-US"/>
        </w:rPr>
        <w:t xml:space="preserve">overall </w:t>
      </w:r>
      <w:r w:rsidRPr="00F866D0">
        <w:rPr>
          <w:lang w:val="en-US"/>
        </w:rPr>
        <w:t>in Turkey.</w:t>
      </w:r>
      <w:r>
        <w:rPr>
          <w:rStyle w:val="DipnotBavurusu"/>
          <w:lang w:val="en-US"/>
        </w:rPr>
        <w:footnoteReference w:id="10"/>
      </w:r>
      <w:r w:rsidRPr="00F866D0">
        <w:rPr>
          <w:lang w:val="en-US"/>
        </w:rPr>
        <w:t xml:space="preserve"> Due to the lack of any sanctions, currently there are only 86</w:t>
      </w:r>
      <w:r>
        <w:rPr>
          <w:lang w:val="en-US"/>
        </w:rPr>
        <w:t xml:space="preserve"> women’s shelters throughout the country:</w:t>
      </w:r>
      <w:r w:rsidRPr="00F866D0">
        <w:rPr>
          <w:lang w:val="en-US"/>
        </w:rPr>
        <w:t xml:space="preserve"> 55 under the ministry, 28 under local govern</w:t>
      </w:r>
      <w:r>
        <w:rPr>
          <w:lang w:val="en-US"/>
        </w:rPr>
        <w:t>ments (municipalities)</w:t>
      </w:r>
      <w:r w:rsidRPr="00F866D0">
        <w:rPr>
          <w:lang w:val="en-US"/>
        </w:rPr>
        <w:t xml:space="preserve"> and </w:t>
      </w:r>
      <w:r w:rsidR="00604CC0">
        <w:rPr>
          <w:lang w:val="en-US"/>
        </w:rPr>
        <w:t>3</w:t>
      </w:r>
      <w:r w:rsidRPr="00F866D0">
        <w:rPr>
          <w:lang w:val="en-US"/>
        </w:rPr>
        <w:t xml:space="preserve"> operated by NGOs.</w:t>
      </w:r>
      <w:r>
        <w:rPr>
          <w:rStyle w:val="DipnotBavurusu"/>
          <w:lang w:val="en-US"/>
        </w:rPr>
        <w:footnoteReference w:id="11"/>
      </w:r>
    </w:p>
    <w:p w:rsidR="002B70B1" w:rsidRPr="002B70B1" w:rsidRDefault="002B70B1" w:rsidP="002B70B1">
      <w:pPr>
        <w:spacing w:after="0"/>
        <w:rPr>
          <w:lang w:val="en-US"/>
        </w:rPr>
      </w:pPr>
    </w:p>
    <w:p w:rsidR="002B70B1" w:rsidRDefault="002B70B1" w:rsidP="002B70B1">
      <w:pPr>
        <w:pStyle w:val="ListeParagraf"/>
        <w:numPr>
          <w:ilvl w:val="0"/>
          <w:numId w:val="1"/>
        </w:numPr>
        <w:spacing w:after="0"/>
        <w:rPr>
          <w:lang w:val="en-US"/>
        </w:rPr>
      </w:pPr>
      <w:r w:rsidRPr="00B17E9A">
        <w:rPr>
          <w:lang w:val="en-US"/>
        </w:rPr>
        <w:t xml:space="preserve">The </w:t>
      </w:r>
      <w:r>
        <w:rPr>
          <w:lang w:val="en-US"/>
        </w:rPr>
        <w:t>web site for the</w:t>
      </w:r>
      <w:r w:rsidRPr="00B17E9A">
        <w:rPr>
          <w:lang w:val="en-US"/>
        </w:rPr>
        <w:t xml:space="preserve"> </w:t>
      </w:r>
      <w:r>
        <w:rPr>
          <w:lang w:val="en-US"/>
        </w:rPr>
        <w:t xml:space="preserve">General Directorate of the Status of Women, the national machinery, </w:t>
      </w:r>
      <w:r w:rsidRPr="00B17E9A">
        <w:rPr>
          <w:lang w:val="en-US"/>
        </w:rPr>
        <w:t>does not incl</w:t>
      </w:r>
      <w:r>
        <w:rPr>
          <w:lang w:val="en-US"/>
        </w:rPr>
        <w:t>ude</w:t>
      </w:r>
      <w:r w:rsidRPr="00B17E9A">
        <w:rPr>
          <w:lang w:val="en-US"/>
        </w:rPr>
        <w:t xml:space="preserve"> any data or statistics </w:t>
      </w:r>
      <w:r>
        <w:rPr>
          <w:lang w:val="en-US"/>
        </w:rPr>
        <w:t xml:space="preserve">regarding the </w:t>
      </w:r>
      <w:r w:rsidRPr="00B17E9A">
        <w:rPr>
          <w:lang w:val="en-US"/>
        </w:rPr>
        <w:t xml:space="preserve">women killings. The only way to access </w:t>
      </w:r>
      <w:r>
        <w:rPr>
          <w:lang w:val="en-US"/>
        </w:rPr>
        <w:t xml:space="preserve">such </w:t>
      </w:r>
      <w:r w:rsidRPr="00B17E9A">
        <w:rPr>
          <w:lang w:val="en-US"/>
        </w:rPr>
        <w:t xml:space="preserve">information is through parliamentary motions by </w:t>
      </w:r>
      <w:r>
        <w:rPr>
          <w:lang w:val="en-US"/>
        </w:rPr>
        <w:t>MPs.</w:t>
      </w:r>
    </w:p>
    <w:p w:rsidR="002B70B1" w:rsidRPr="002B70B1" w:rsidRDefault="002B70B1" w:rsidP="002B70B1">
      <w:pPr>
        <w:spacing w:after="0"/>
        <w:rPr>
          <w:lang w:val="en-US"/>
        </w:rPr>
      </w:pPr>
    </w:p>
    <w:p w:rsidR="002B70B1" w:rsidRPr="00B17E9A" w:rsidRDefault="002B70B1" w:rsidP="002B70B1">
      <w:pPr>
        <w:pStyle w:val="ListeParagraf1"/>
        <w:numPr>
          <w:ilvl w:val="0"/>
          <w:numId w:val="0"/>
        </w:numPr>
        <w:spacing w:after="0"/>
        <w:rPr>
          <w:lang w:val="en-US"/>
        </w:rPr>
      </w:pPr>
      <w:r>
        <w:rPr>
          <w:lang w:val="en-US"/>
        </w:rPr>
        <w:t>Efforts</w:t>
      </w:r>
      <w:r w:rsidRPr="00B17E9A">
        <w:rPr>
          <w:lang w:val="en-US"/>
        </w:rPr>
        <w:t xml:space="preserve"> on t</w:t>
      </w:r>
      <w:r>
        <w:rPr>
          <w:lang w:val="en-US"/>
        </w:rPr>
        <w:t>h</w:t>
      </w:r>
      <w:r w:rsidRPr="00B17E9A">
        <w:rPr>
          <w:lang w:val="en-US"/>
        </w:rPr>
        <w:t xml:space="preserve">e part of the government </w:t>
      </w:r>
      <w:r>
        <w:rPr>
          <w:lang w:val="en-US"/>
        </w:rPr>
        <w:t xml:space="preserve">to eliminate </w:t>
      </w:r>
      <w:r w:rsidRPr="00B17E9A">
        <w:rPr>
          <w:lang w:val="en-US"/>
        </w:rPr>
        <w:t xml:space="preserve">violence against women remain inadequate because </w:t>
      </w:r>
      <w:r>
        <w:rPr>
          <w:lang w:val="en-US"/>
        </w:rPr>
        <w:t xml:space="preserve">the espoused </w:t>
      </w:r>
      <w:r w:rsidRPr="00B17E9A">
        <w:rPr>
          <w:lang w:val="en-US"/>
        </w:rPr>
        <w:t>value in these efforts is not women’s human rights</w:t>
      </w:r>
      <w:r>
        <w:rPr>
          <w:lang w:val="en-US"/>
        </w:rPr>
        <w:t>,</w:t>
      </w:r>
      <w:r w:rsidRPr="00B17E9A">
        <w:rPr>
          <w:lang w:val="en-US"/>
        </w:rPr>
        <w:t xml:space="preserve"> but rather the family. Numerous women are </w:t>
      </w:r>
      <w:r>
        <w:rPr>
          <w:lang w:val="en-US"/>
        </w:rPr>
        <w:t xml:space="preserve">“sacrificed” </w:t>
      </w:r>
      <w:r w:rsidRPr="00B17E9A">
        <w:rPr>
          <w:lang w:val="en-US"/>
        </w:rPr>
        <w:t xml:space="preserve">each day in the name of protecting the family. </w:t>
      </w:r>
    </w:p>
    <w:p w:rsidR="002B70B1" w:rsidRPr="00B17E9A" w:rsidRDefault="002B70B1" w:rsidP="002B70B1">
      <w:pPr>
        <w:pStyle w:val="ListeParagraf1"/>
        <w:numPr>
          <w:ilvl w:val="0"/>
          <w:numId w:val="0"/>
        </w:numPr>
        <w:spacing w:after="0"/>
        <w:rPr>
          <w:lang w:val="en-US"/>
        </w:rPr>
      </w:pPr>
    </w:p>
    <w:p w:rsidR="002B70B1" w:rsidRDefault="002B70B1" w:rsidP="002B70B1">
      <w:pPr>
        <w:pStyle w:val="ListeParagraf1"/>
        <w:numPr>
          <w:ilvl w:val="0"/>
          <w:numId w:val="0"/>
        </w:numPr>
        <w:spacing w:after="0"/>
        <w:rPr>
          <w:lang w:val="en-US"/>
        </w:rPr>
      </w:pPr>
      <w:r w:rsidRPr="00B17E9A">
        <w:rPr>
          <w:lang w:val="en-US"/>
        </w:rPr>
        <w:t>Furthermore</w:t>
      </w:r>
      <w:r>
        <w:rPr>
          <w:lang w:val="en-US"/>
        </w:rPr>
        <w:t>,</w:t>
      </w:r>
      <w:r w:rsidRPr="00B17E9A">
        <w:rPr>
          <w:lang w:val="en-US"/>
        </w:rPr>
        <w:t xml:space="preserve"> </w:t>
      </w:r>
      <w:r>
        <w:rPr>
          <w:lang w:val="en-US"/>
        </w:rPr>
        <w:t>at the current rock bottom of</w:t>
      </w:r>
      <w:r w:rsidRPr="00B17E9A">
        <w:rPr>
          <w:lang w:val="en-US"/>
        </w:rPr>
        <w:t xml:space="preserve"> </w:t>
      </w:r>
      <w:r>
        <w:rPr>
          <w:lang w:val="en-US"/>
        </w:rPr>
        <w:t>conservatism</w:t>
      </w:r>
      <w:r w:rsidRPr="00B17E9A">
        <w:rPr>
          <w:lang w:val="en-US"/>
        </w:rPr>
        <w:t xml:space="preserve"> </w:t>
      </w:r>
      <w:r>
        <w:rPr>
          <w:lang w:val="en-US"/>
        </w:rPr>
        <w:t xml:space="preserve">in which women’s human rights are interpreted through the lens of </w:t>
      </w:r>
      <w:r w:rsidRPr="00B17E9A">
        <w:rPr>
          <w:lang w:val="en-US"/>
        </w:rPr>
        <w:t>religi</w:t>
      </w:r>
      <w:r>
        <w:rPr>
          <w:lang w:val="en-US"/>
        </w:rPr>
        <w:t>o</w:t>
      </w:r>
      <w:r w:rsidRPr="00B17E9A">
        <w:rPr>
          <w:lang w:val="en-US"/>
        </w:rPr>
        <w:t xml:space="preserve">us values, </w:t>
      </w:r>
      <w:r>
        <w:rPr>
          <w:lang w:val="en-US"/>
        </w:rPr>
        <w:t xml:space="preserve">the </w:t>
      </w:r>
      <w:r w:rsidRPr="00B17E9A">
        <w:rPr>
          <w:lang w:val="en-US"/>
        </w:rPr>
        <w:t>interpretation</w:t>
      </w:r>
      <w:r>
        <w:rPr>
          <w:lang w:val="en-US"/>
        </w:rPr>
        <w:t>s</w:t>
      </w:r>
      <w:r w:rsidRPr="00B17E9A">
        <w:rPr>
          <w:lang w:val="en-US"/>
        </w:rPr>
        <w:t xml:space="preserve"> of religion </w:t>
      </w:r>
      <w:r>
        <w:rPr>
          <w:lang w:val="en-US"/>
        </w:rPr>
        <w:t>are</w:t>
      </w:r>
      <w:r w:rsidRPr="00B17E9A">
        <w:rPr>
          <w:lang w:val="en-US"/>
        </w:rPr>
        <w:t xml:space="preserve"> </w:t>
      </w:r>
      <w:r>
        <w:rPr>
          <w:lang w:val="en-US"/>
        </w:rPr>
        <w:t xml:space="preserve">also </w:t>
      </w:r>
      <w:r w:rsidRPr="00B17E9A">
        <w:rPr>
          <w:lang w:val="en-US"/>
        </w:rPr>
        <w:t>growing</w:t>
      </w:r>
      <w:r>
        <w:rPr>
          <w:lang w:val="en-US"/>
        </w:rPr>
        <w:t>ly</w:t>
      </w:r>
      <w:r w:rsidRPr="00B17E9A">
        <w:rPr>
          <w:lang w:val="en-US"/>
        </w:rPr>
        <w:t xml:space="preserve"> more conservative</w:t>
      </w:r>
      <w:r>
        <w:rPr>
          <w:lang w:val="en-US"/>
        </w:rPr>
        <w:t>. Besides,</w:t>
      </w:r>
      <w:r w:rsidRPr="00B17E9A">
        <w:rPr>
          <w:lang w:val="en-US"/>
        </w:rPr>
        <w:t xml:space="preserve"> the </w:t>
      </w:r>
      <w:r>
        <w:rPr>
          <w:lang w:val="en-US"/>
        </w:rPr>
        <w:t>structural aspect of</w:t>
      </w:r>
      <w:r w:rsidRPr="00B17E9A">
        <w:rPr>
          <w:lang w:val="en-US"/>
        </w:rPr>
        <w:t xml:space="preserve"> violence against women and </w:t>
      </w:r>
      <w:r>
        <w:rPr>
          <w:lang w:val="en-US"/>
        </w:rPr>
        <w:t>its interaction with culture are being</w:t>
      </w:r>
      <w:r w:rsidRPr="00B17E9A">
        <w:rPr>
          <w:lang w:val="en-US"/>
        </w:rPr>
        <w:t xml:space="preserve"> disregarded</w:t>
      </w:r>
      <w:r>
        <w:rPr>
          <w:lang w:val="en-US"/>
        </w:rPr>
        <w:t xml:space="preserve"> all together.</w:t>
      </w:r>
    </w:p>
    <w:p w:rsidR="002B70B1" w:rsidRPr="00B17E9A" w:rsidRDefault="002B70B1" w:rsidP="002B70B1">
      <w:pPr>
        <w:pStyle w:val="ListeParagraf1"/>
        <w:numPr>
          <w:ilvl w:val="0"/>
          <w:numId w:val="0"/>
        </w:numPr>
        <w:spacing w:after="0"/>
        <w:rPr>
          <w:lang w:val="en-US"/>
        </w:rPr>
      </w:pPr>
    </w:p>
    <w:p w:rsidR="002B70B1" w:rsidRPr="00B17E9A" w:rsidRDefault="002B70B1" w:rsidP="002B70B1">
      <w:p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The government’s approach to women is culminating in an even more entrenched patriarchal structure. The fact that a police officer who is known to have sexually tortured tens of women has recently been promoted to be deputy chief of the Istanbul Police force and the fact that the Ministry of Family and Social Policies has failed to voice any criticism of this promotion are both, unfortunately, indicative of how dominant and powerful </w:t>
      </w:r>
      <w:bookmarkStart w:id="0" w:name="_GoBack"/>
      <w:bookmarkEnd w:id="0"/>
      <w:r>
        <w:rPr>
          <w:rFonts w:ascii="Times New Roman" w:hAnsi="Times New Roman"/>
          <w:sz w:val="24"/>
          <w:szCs w:val="24"/>
          <w:lang w:val="en-US"/>
        </w:rPr>
        <w:t xml:space="preserve">patriarchal approaches and practices continue to be in Turkey.  </w:t>
      </w:r>
    </w:p>
    <w:p w:rsidR="009F6EA1" w:rsidRDefault="009F6EA1" w:rsidP="002B70B1">
      <w:pPr>
        <w:spacing w:after="0"/>
      </w:pPr>
    </w:p>
    <w:sectPr w:rsidR="009F6EA1" w:rsidSect="00A318A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6E8" w:rsidRDefault="007576E8" w:rsidP="002B70B1">
      <w:pPr>
        <w:spacing w:after="0" w:line="240" w:lineRule="auto"/>
      </w:pPr>
      <w:r>
        <w:separator/>
      </w:r>
    </w:p>
  </w:endnote>
  <w:endnote w:type="continuationSeparator" w:id="1">
    <w:p w:rsidR="007576E8" w:rsidRDefault="007576E8" w:rsidP="002B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3092"/>
      <w:docPartObj>
        <w:docPartGallery w:val="Page Numbers (Bottom of Page)"/>
        <w:docPartUnique/>
      </w:docPartObj>
    </w:sdtPr>
    <w:sdtContent>
      <w:p w:rsidR="00BE20A9" w:rsidRDefault="00705F9E">
        <w:pPr>
          <w:pStyle w:val="Altbilgi"/>
          <w:jc w:val="center"/>
        </w:pPr>
        <w:fldSimple w:instr=" PAGE   \* MERGEFORMAT ">
          <w:r w:rsidR="00384C5F">
            <w:rPr>
              <w:noProof/>
            </w:rPr>
            <w:t>1</w:t>
          </w:r>
        </w:fldSimple>
      </w:p>
    </w:sdtContent>
  </w:sdt>
  <w:p w:rsidR="00BE20A9" w:rsidRDefault="00BE20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6E8" w:rsidRDefault="007576E8" w:rsidP="002B70B1">
      <w:pPr>
        <w:spacing w:after="0" w:line="240" w:lineRule="auto"/>
      </w:pPr>
      <w:r>
        <w:separator/>
      </w:r>
    </w:p>
  </w:footnote>
  <w:footnote w:type="continuationSeparator" w:id="1">
    <w:p w:rsidR="007576E8" w:rsidRDefault="007576E8" w:rsidP="002B70B1">
      <w:pPr>
        <w:spacing w:after="0" w:line="240" w:lineRule="auto"/>
      </w:pPr>
      <w:r>
        <w:continuationSeparator/>
      </w:r>
    </w:p>
  </w:footnote>
  <w:footnote w:id="2">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http://bianet.org/bianet/print/132742-kadin-cinayetleri-14-kat-artti (15 September 2011)</w:t>
      </w:r>
    </w:p>
  </w:footnote>
  <w:footnote w:id="3">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http://kadininstatusu.gov.tr/upload/mce/eski_site/tdvaw/Statistics.htm</w:t>
      </w:r>
    </w:p>
  </w:footnote>
  <w:footnote w:id="4">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http://www.wwhr.org/category/news/32989/rights-activist-ilkkaracan-abortion-bans-hurt-poor-women-most</w:t>
      </w:r>
    </w:p>
  </w:footnote>
  <w:footnote w:id="5">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http://www.wwhr.org/category/news/32989/rights-activist-ilkkaracan-abortion-bans-hurt-poor-women-most</w:t>
      </w:r>
    </w:p>
  </w:footnote>
  <w:footnote w:id="6">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w:t>
      </w:r>
      <w:r w:rsidR="008A5D0B" w:rsidRPr="008A5D0B">
        <w:rPr>
          <w:rFonts w:ascii="Times New Roman" w:hAnsi="Times New Roman"/>
        </w:rPr>
        <w:t>http://bianet.org/bianet/insan-haklari/137802-hsyk-niye-siddet-barindiran-aileyi-koruyor</w:t>
      </w:r>
    </w:p>
  </w:footnote>
  <w:footnote w:id="7">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http://www.radikal.com.tr/Radikal.aspx?aType=RadikalEklerDetayV3&amp;ArticleID=1094602&amp;CategoryID=77</w:t>
      </w:r>
    </w:p>
  </w:footnote>
  <w:footnote w:id="8">
    <w:p w:rsidR="002B70B1" w:rsidRPr="008A5D0B" w:rsidRDefault="002B70B1" w:rsidP="002B70B1">
      <w:pPr>
        <w:pStyle w:val="DipnotMetni"/>
        <w:rPr>
          <w:rFonts w:ascii="Times New Roman" w:hAnsi="Times New Roman"/>
        </w:rPr>
      </w:pPr>
      <w:r w:rsidRPr="008A5D0B">
        <w:rPr>
          <w:rStyle w:val="DipnotBavurusu"/>
          <w:rFonts w:ascii="Times New Roman" w:hAnsi="Times New Roman"/>
        </w:rPr>
        <w:footnoteRef/>
      </w:r>
      <w:r w:rsidRPr="008A5D0B">
        <w:rPr>
          <w:rFonts w:ascii="Times New Roman" w:hAnsi="Times New Roman"/>
        </w:rPr>
        <w:t xml:space="preserve"> http://www.sabancivakfi.org/page/child-brides</w:t>
      </w:r>
    </w:p>
  </w:footnote>
  <w:footnote w:id="9">
    <w:p w:rsidR="00604CC0" w:rsidRPr="00604CC0" w:rsidRDefault="00604CC0">
      <w:pPr>
        <w:pStyle w:val="DipnotMetni"/>
        <w:rPr>
          <w:rFonts w:ascii="Times New Roman" w:hAnsi="Times New Roman"/>
        </w:rPr>
      </w:pPr>
      <w:r w:rsidRPr="00604CC0">
        <w:rPr>
          <w:rStyle w:val="DipnotBavurusu"/>
          <w:rFonts w:ascii="Times New Roman" w:hAnsi="Times New Roman"/>
        </w:rPr>
        <w:footnoteRef/>
      </w:r>
      <w:r w:rsidRPr="00604CC0">
        <w:rPr>
          <w:rFonts w:ascii="Times New Roman" w:hAnsi="Times New Roman"/>
        </w:rPr>
        <w:t xml:space="preserve"> http://www.coe.int/equality/</w:t>
      </w:r>
    </w:p>
  </w:footnote>
  <w:footnote w:id="10">
    <w:p w:rsidR="002B70B1" w:rsidRPr="00604CC0" w:rsidRDefault="002B70B1" w:rsidP="002B70B1">
      <w:pPr>
        <w:pStyle w:val="DipnotMetni"/>
        <w:rPr>
          <w:rFonts w:ascii="Times New Roman" w:hAnsi="Times New Roman"/>
        </w:rPr>
      </w:pPr>
      <w:r w:rsidRPr="00604CC0">
        <w:rPr>
          <w:rStyle w:val="DipnotBavurusu"/>
          <w:rFonts w:ascii="Times New Roman" w:hAnsi="Times New Roman"/>
        </w:rPr>
        <w:footnoteRef/>
      </w:r>
      <w:r w:rsidRPr="00604CC0">
        <w:rPr>
          <w:rFonts w:ascii="Times New Roman" w:hAnsi="Times New Roman"/>
        </w:rPr>
        <w:t xml:space="preserve"> http://www.haberturk.com/yazarlar/elif-safak/595486-catisiz-kalmak</w:t>
      </w:r>
    </w:p>
  </w:footnote>
  <w:footnote w:id="11">
    <w:p w:rsidR="002B70B1" w:rsidRPr="00604CC0" w:rsidRDefault="002B70B1" w:rsidP="002B70B1">
      <w:pPr>
        <w:pStyle w:val="DipnotMetni"/>
        <w:rPr>
          <w:rFonts w:ascii="Times New Roman" w:hAnsi="Times New Roman"/>
        </w:rPr>
      </w:pPr>
      <w:r w:rsidRPr="00604CC0">
        <w:rPr>
          <w:rStyle w:val="DipnotBavurusu"/>
          <w:rFonts w:ascii="Times New Roman" w:hAnsi="Times New Roman"/>
        </w:rPr>
        <w:footnoteRef/>
      </w:r>
      <w:r w:rsidRPr="00604CC0">
        <w:rPr>
          <w:rFonts w:ascii="Times New Roman" w:hAnsi="Times New Roman"/>
        </w:rPr>
        <w:t xml:space="preserve"> http://www2.tbmm.gov.tr/d24/7/7-6740sgc.pdf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B58C0"/>
    <w:multiLevelType w:val="hybridMultilevel"/>
    <w:tmpl w:val="123CC4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9D31A07"/>
    <w:multiLevelType w:val="hybridMultilevel"/>
    <w:tmpl w:val="E364F27C"/>
    <w:lvl w:ilvl="0" w:tplc="40821D1C">
      <w:start w:val="1"/>
      <w:numFmt w:val="bullet"/>
      <w:pStyle w:val="ListeParagraf1"/>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70B1"/>
    <w:rsid w:val="001F78C4"/>
    <w:rsid w:val="00251BC9"/>
    <w:rsid w:val="002B70B1"/>
    <w:rsid w:val="00384C5F"/>
    <w:rsid w:val="00604CC0"/>
    <w:rsid w:val="00705F9E"/>
    <w:rsid w:val="007576E8"/>
    <w:rsid w:val="008A5D0B"/>
    <w:rsid w:val="009F6EA1"/>
    <w:rsid w:val="00BE20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B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2B70B1"/>
    <w:pPr>
      <w:numPr>
        <w:numId w:val="1"/>
      </w:numPr>
      <w:shd w:val="clear" w:color="auto" w:fill="FFFFFF"/>
      <w:contextualSpacing/>
      <w:jc w:val="both"/>
    </w:pPr>
    <w:rPr>
      <w:rFonts w:ascii="Times New Roman" w:hAnsi="Times New Roman"/>
      <w:sz w:val="24"/>
      <w:szCs w:val="24"/>
    </w:rPr>
  </w:style>
  <w:style w:type="paragraph" w:styleId="DipnotMetni">
    <w:name w:val="footnote text"/>
    <w:basedOn w:val="Normal"/>
    <w:link w:val="DipnotMetniChar"/>
    <w:uiPriority w:val="99"/>
    <w:semiHidden/>
    <w:unhideWhenUsed/>
    <w:rsid w:val="002B70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B70B1"/>
    <w:rPr>
      <w:rFonts w:ascii="Calibri" w:eastAsia="Times New Roman" w:hAnsi="Calibri" w:cs="Times New Roman"/>
      <w:sz w:val="20"/>
      <w:szCs w:val="20"/>
      <w:lang w:eastAsia="tr-TR"/>
    </w:rPr>
  </w:style>
  <w:style w:type="character" w:styleId="DipnotBavurusu">
    <w:name w:val="footnote reference"/>
    <w:uiPriority w:val="99"/>
    <w:semiHidden/>
    <w:unhideWhenUsed/>
    <w:rsid w:val="002B70B1"/>
    <w:rPr>
      <w:vertAlign w:val="superscript"/>
    </w:rPr>
  </w:style>
  <w:style w:type="paragraph" w:customStyle="1" w:styleId="Default">
    <w:name w:val="Default"/>
    <w:rsid w:val="002B70B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2B70B1"/>
    <w:pPr>
      <w:shd w:val="clear" w:color="auto" w:fill="FFFFFF" w:themeFill="background1"/>
      <w:ind w:left="360" w:hanging="360"/>
      <w:contextualSpacing/>
      <w:jc w:val="both"/>
    </w:pPr>
    <w:rPr>
      <w:rFonts w:ascii="Times New Roman" w:eastAsiaTheme="minorEastAsia" w:hAnsi="Times New Roman"/>
      <w:sz w:val="24"/>
      <w:szCs w:val="24"/>
    </w:rPr>
  </w:style>
  <w:style w:type="paragraph" w:styleId="stbilgi">
    <w:name w:val="header"/>
    <w:basedOn w:val="Normal"/>
    <w:link w:val="stbilgiChar"/>
    <w:uiPriority w:val="99"/>
    <w:semiHidden/>
    <w:unhideWhenUsed/>
    <w:rsid w:val="00BE20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0A9"/>
    <w:rPr>
      <w:rFonts w:ascii="Calibri" w:eastAsia="Times New Roman" w:hAnsi="Calibri" w:cs="Times New Roman"/>
      <w:lang w:eastAsia="tr-TR"/>
    </w:rPr>
  </w:style>
  <w:style w:type="paragraph" w:styleId="Altbilgi">
    <w:name w:val="footer"/>
    <w:basedOn w:val="Normal"/>
    <w:link w:val="AltbilgiChar"/>
    <w:uiPriority w:val="99"/>
    <w:unhideWhenUsed/>
    <w:rsid w:val="00BE20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20A9"/>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8B849-0A32-4959-8AE2-F58A07CD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dc:creator>
  <cp:lastModifiedBy>KASAUM 2</cp:lastModifiedBy>
  <cp:revision>2</cp:revision>
  <cp:lastPrinted>2012-09-25T09:18:00Z</cp:lastPrinted>
  <dcterms:created xsi:type="dcterms:W3CDTF">2013-04-05T07:09:00Z</dcterms:created>
  <dcterms:modified xsi:type="dcterms:W3CDTF">2013-04-05T07:09:00Z</dcterms:modified>
</cp:coreProperties>
</file>